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1BCA2CCD" w14:textId="76F88689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r w:rsidR="00875E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неральн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ый</w:t>
      </w:r>
      <w:r w:rsidR="005504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</w:t>
      </w:r>
    </w:p>
    <w:p w14:paraId="36256327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5359AF3A" w14:textId="1880D5BF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________________ /</w:t>
      </w:r>
      <w:r w:rsidR="000D73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А.А. Базаев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/</w:t>
      </w:r>
    </w:p>
    <w:p w14:paraId="32A418AA" w14:textId="1962443D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</w:t>
      </w:r>
      <w:r w:rsidR="00C1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14:paraId="1045D9CC" w14:textId="6EFC4A94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48B4F90D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6649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EF4F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</w:p>
    <w:p w14:paraId="7CB2F0CD" w14:textId="77777777" w:rsidR="003549C1" w:rsidRPr="001777CE" w:rsidRDefault="00EC65BD" w:rsidP="00F3216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договора </w:t>
      </w:r>
    </w:p>
    <w:p w14:paraId="125F7C4E" w14:textId="12F133E3" w:rsidR="002F3DD8" w:rsidRPr="009F3523" w:rsidRDefault="003549C1" w:rsidP="00C170A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bookmarkStart w:id="5" w:name="_Hlk142551835"/>
      <w:bookmarkStart w:id="6" w:name="_Hlk158642950"/>
      <w:r w:rsidR="009F3523" w:rsidRPr="009F35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выполнение работ по капитальному ремонту систем пожарной сигнализации, оповещения и управления эвакуацией, автоматического пожаротушения зданий АДЦ-1 и АДЦ-2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5"/>
          <w:bookmarkEnd w:id="6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892713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892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t>(АО «ОЭЗ ППТ «Липецк»)</w:t>
            </w:r>
          </w:p>
          <w:p w14:paraId="0C59DF94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rPr>
                <w:b/>
              </w:rPr>
              <w:t>Место нахождения</w:t>
            </w:r>
            <w:r w:rsidRPr="00892713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rPr>
                <w:b/>
              </w:rPr>
              <w:t>Почтовый адрес:</w:t>
            </w:r>
            <w:r w:rsidRPr="00892713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rPr>
                <w:b/>
              </w:rPr>
              <w:t>Адрес электронной почты</w:t>
            </w:r>
            <w:r w:rsidRPr="00892713">
              <w:t xml:space="preserve">: </w:t>
            </w:r>
            <w:proofErr w:type="spellStart"/>
            <w:r w:rsidRPr="00892713">
              <w:rPr>
                <w:lang w:val="en-US"/>
              </w:rPr>
              <w:t>zakupki</w:t>
            </w:r>
            <w:proofErr w:type="spellEnd"/>
            <w:r w:rsidRPr="00892713">
              <w:t xml:space="preserve">@sezlipetsk.ru                              </w:t>
            </w:r>
          </w:p>
          <w:p w14:paraId="373F7066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rPr>
                <w:b/>
              </w:rPr>
              <w:t>Номер контактного телефона</w:t>
            </w:r>
            <w:r w:rsidRPr="00892713">
              <w:t>: тел: (4742) 51-53-36</w:t>
            </w:r>
          </w:p>
          <w:p w14:paraId="17C7BCF1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t>Контактное лицо: Смирнова Станислава Николаевна</w:t>
            </w:r>
          </w:p>
          <w:p w14:paraId="323E76AA" w14:textId="77777777" w:rsidR="004A2C2B" w:rsidRPr="00892713" w:rsidRDefault="004A2C2B" w:rsidP="00FF0001">
            <w:pPr>
              <w:pStyle w:val="af5"/>
              <w:jc w:val="both"/>
            </w:pPr>
            <w:r w:rsidRPr="00892713">
              <w:rPr>
                <w:b/>
                <w:bCs/>
              </w:rPr>
              <w:t>Ответственный за техническое задание:</w:t>
            </w:r>
            <w:r w:rsidRPr="00892713">
              <w:t xml:space="preserve"> </w:t>
            </w:r>
          </w:p>
          <w:p w14:paraId="52482B6B" w14:textId="35B67A71" w:rsidR="00892713" w:rsidRPr="00892713" w:rsidRDefault="00892713" w:rsidP="00FF0001">
            <w:pPr>
              <w:spacing w:line="280" w:lineRule="exac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 Александр Олегович</w:t>
            </w:r>
          </w:p>
          <w:p w14:paraId="3BF0D0D1" w14:textId="7CBAC409" w:rsidR="006E7F00" w:rsidRPr="00892713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(4742) </w:t>
            </w:r>
            <w:r w:rsidR="00974F08" w:rsidRPr="008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</w:t>
            </w:r>
            <w:r w:rsidR="00892713" w:rsidRPr="008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4F08" w:rsidRPr="008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2713" w:rsidRPr="00892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7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7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8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D04F5E">
        <w:trPr>
          <w:trHeight w:val="1772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0081C6ED" w14:textId="52C253B3" w:rsidR="00892713" w:rsidRPr="009F3523" w:rsidRDefault="00C170AE" w:rsidP="00892713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9" w:name="_Hlk523912639"/>
            <w:bookmarkStart w:id="10" w:name="_Hlk523925758"/>
            <w:bookmarkStart w:id="11" w:name="_Hlk90375655"/>
            <w:r w:rsidRPr="009F3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892713" w:rsidRPr="009F3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работ по капитальному ремонту систем пожарной сигнализации, оповещения и управления эвакуацией, автоматического пожаротушения зданий АДЦ-1 и АДЦ-2</w:t>
            </w:r>
          </w:p>
          <w:p w14:paraId="1B1670C9" w14:textId="7073F3E9" w:rsidR="003549C1" w:rsidRPr="009F3523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892713" w:rsidRPr="009F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у.е.</w:t>
            </w:r>
          </w:p>
          <w:p w14:paraId="4AC4AFFC" w14:textId="72A7C6CE" w:rsidR="004D6C58" w:rsidRPr="00357B1C" w:rsidRDefault="003549C1" w:rsidP="003549C1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9F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bookmarkEnd w:id="9"/>
            <w:bookmarkEnd w:id="10"/>
            <w:r w:rsidR="009F3523" w:rsidRPr="009F35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заданием, проектными документациями, ведомостями объемов работ и проектом договора, являющимися неотъемлемой частью документации о проведении конкурса.</w:t>
            </w:r>
            <w:bookmarkEnd w:id="11"/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0765563" w14:textId="77777777" w:rsidR="00892713" w:rsidRPr="009F3523" w:rsidRDefault="00C170AE" w:rsidP="00892713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43112108"/>
            <w:r w:rsidRPr="009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r w:rsidR="002F3DD8" w:rsidRPr="009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работ</w:t>
            </w:r>
            <w:r w:rsidRPr="009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bookmarkEnd w:id="12"/>
            <w:r w:rsidR="00892713" w:rsidRPr="009F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АДЦ-1 – </w:t>
            </w:r>
            <w:bookmarkStart w:id="13" w:name="_Hlk164089173"/>
            <w:r w:rsidR="00892713" w:rsidRPr="009F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административно-делового центра, расположенное по адресу: Липецкая область, Грязинский район, город Грязи, территория ОЭЗ ППТ Липецк, стр. 4а.</w:t>
            </w:r>
          </w:p>
          <w:bookmarkEnd w:id="13"/>
          <w:p w14:paraId="16B69873" w14:textId="77777777" w:rsidR="00892713" w:rsidRPr="009F3523" w:rsidRDefault="00892713" w:rsidP="00892713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АДЦ-2 – здание административно-делового центра, расположенное по адресу: Липецкая область, Грязинский район, город Грязи, территория ОЭЗ ППТ Липецк, стр. 4.</w:t>
            </w:r>
          </w:p>
          <w:p w14:paraId="07247F24" w14:textId="77777777" w:rsidR="00892713" w:rsidRPr="009F3523" w:rsidRDefault="00892713" w:rsidP="00892713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(период) выполнения работ: </w:t>
            </w:r>
            <w:r w:rsidRPr="009F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8 месяцев с момента заключения договора.</w:t>
            </w:r>
          </w:p>
          <w:p w14:paraId="667E66D3" w14:textId="133FFA41" w:rsidR="005A7887" w:rsidRPr="009F3523" w:rsidRDefault="00892713" w:rsidP="00892713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F3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выполнения работ: </w:t>
            </w:r>
            <w:r w:rsidR="009F3523" w:rsidRPr="009F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техническим заданием и проектом договора, </w:t>
            </w:r>
            <w:r w:rsidR="009F3523" w:rsidRPr="009F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являющимися неотъемлемой частью документации о проведении конкурса.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BA70" w14:textId="77777777" w:rsidR="00892713" w:rsidRPr="009F3523" w:rsidRDefault="00892713" w:rsidP="00892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35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договора: </w:t>
            </w:r>
            <w:r w:rsidRPr="009F35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16 199 138 (шестнадцать миллионов сто девяносто девять тысяч сто тридцать восемь) рублей 00 копеек.</w:t>
            </w:r>
          </w:p>
          <w:p w14:paraId="72CD4805" w14:textId="3599D730" w:rsidR="00E45F1E" w:rsidRPr="009F3523" w:rsidRDefault="000D7354" w:rsidP="002F3DD8">
            <w:pPr>
              <w:spacing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</w:t>
            </w:r>
            <w:r w:rsidR="00892713" w:rsidRPr="009F3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работ, материалов, элементов систем, </w:t>
            </w:r>
            <w:r w:rsidRPr="009F3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все затраты </w:t>
            </w:r>
            <w:r w:rsidR="00892713" w:rsidRPr="009F3523">
              <w:rPr>
                <w:rFonts w:ascii="Times New Roman" w:eastAsia="Calibri" w:hAnsi="Times New Roman" w:cs="Times New Roman"/>
                <w:sz w:val="24"/>
                <w:szCs w:val="24"/>
              </w:rPr>
              <w:t>Подрядчика</w:t>
            </w:r>
            <w:r w:rsidRPr="009F3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B70AE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C718EE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конкурсе в электронной форме подаются в форме электронных документов непосредственно на ЭТП «РТС-тендер». Порядок подачи </w:t>
            </w:r>
            <w:r w:rsidRPr="00C71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заявок - в соответствии с Регламентом ЭП и требованиями документации о закупке</w:t>
            </w:r>
          </w:p>
          <w:p w14:paraId="59FFAC03" w14:textId="66FDC8FA" w:rsidR="00E45F1E" w:rsidRPr="00C718EE" w:rsidRDefault="00E45F1E" w:rsidP="00E45F1E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718EE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C718EE"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17</w:t>
            </w:r>
            <w:r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892713"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мая</w:t>
            </w:r>
            <w:r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9F0863"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  <w:r w:rsidRPr="00C718E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77777777" w:rsidR="00E45F1E" w:rsidRPr="00C718EE" w:rsidRDefault="00E45F1E" w:rsidP="00E4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EE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12A8D1EF" w:rsidR="00E45F1E" w:rsidRPr="005F66F4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718EE" w:rsidRPr="00C7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C7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67815" w:rsidRPr="00C7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13" w:rsidRPr="00C7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0D7354"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F0863"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C71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C718EE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2263AD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45F1E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E45F1E"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 w:rsidR="00E45F1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E45F1E" w:rsidRPr="002263AD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C718E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6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C718EE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718EE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71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1BEB80B4" w:rsidR="00E45F1E" w:rsidRPr="00C718EE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718EE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767815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2713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="00767815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9F0863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718E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C718E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C718E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C718E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C718E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C718E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406C3C72" w14:textId="77777777" w:rsidR="00E45F1E" w:rsidRPr="00C718EE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718EE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718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669C4459" w:rsidR="00E45F1E" w:rsidRPr="00C718EE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718EE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A0F7E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2713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718E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C718E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C718E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C718EE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718E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0C876F95" w14:textId="50B182C4" w:rsidR="00E45F1E" w:rsidRPr="005F66F4" w:rsidRDefault="00E45F1E" w:rsidP="005D71A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C718EE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92713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мая</w:t>
            </w:r>
            <w:r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9F0863" w:rsidRPr="00C71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718E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C718EE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C718EE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C718E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C718E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</w:t>
            </w:r>
            <w:r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Pr="00C718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7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</w:t>
            </w:r>
            <w:r w:rsidRPr="000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заявок на участие в конкурсе</w:t>
            </w:r>
            <w:r w:rsidR="00F472B5" w:rsidRPr="000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0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порядок оценки и сопоставления заявок на участие в конкурсе», </w:t>
            </w:r>
            <w:bookmarkStart w:id="14" w:name="_Hlk56763731"/>
            <w:r w:rsidRPr="000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Pr="00062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Pr="000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и оценки заявок», а также с учетом ст. 23, 24 о «п</w:t>
            </w:r>
            <w:r w:rsidRPr="0006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Pr="000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Pr="000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6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62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конкурса в электронной форме»</w:t>
            </w:r>
            <w:bookmarkEnd w:id="14"/>
            <w:r w:rsidRPr="00062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16300F8E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Обеспечение заявок установлено в размере 1 (одного) % от начальной (максимальной) цены договора, что составляет: 161 991 (сто шестьдесят одна тысяча девятьсот девяносто один) руб. 38 коп. (НДС не облагается).</w:t>
            </w:r>
          </w:p>
          <w:p w14:paraId="4CD177CD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 xml:space="preserve">Срок, порядок и способ внесения обеспечения Заявок – в соответствии с п.11 Раздел II документации о проведении конкурса в электронной форме. </w:t>
            </w:r>
          </w:p>
          <w:p w14:paraId="1AEDDCAD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Реквизиты счета Заказчика (для перечисления Банком-гарантом суммы обеспечения заявок в случае нарушения Участником своих обязательств):</w:t>
            </w:r>
          </w:p>
          <w:p w14:paraId="32378D39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АО «ОЭЗ ППТ «Липецк»</w:t>
            </w:r>
          </w:p>
          <w:p w14:paraId="18319C46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4244F7BB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р/с 40702810635000014216</w:t>
            </w:r>
          </w:p>
          <w:p w14:paraId="6AE093A7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к/с 30101810800000000604</w:t>
            </w:r>
          </w:p>
          <w:p w14:paraId="448D5BE3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БИК 044206604</w:t>
            </w:r>
          </w:p>
          <w:p w14:paraId="7E0AF4CB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ИНН/КПП 4826052440/480201001</w:t>
            </w:r>
          </w:p>
          <w:p w14:paraId="055E0E14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ОГРН 1064823059971</w:t>
            </w:r>
          </w:p>
          <w:p w14:paraId="044ED256" w14:textId="77777777" w:rsidR="00892713" w:rsidRPr="00892713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>ОКПО 96173490</w:t>
            </w:r>
          </w:p>
          <w:p w14:paraId="78CBC2D1" w14:textId="7B4DB143" w:rsidR="00E45F1E" w:rsidRPr="000516F9" w:rsidRDefault="00892713" w:rsidP="00892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ВНИМАНИЕ!</w:t>
            </w: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иметь возможность подать заявку на участие в закупке, в соответствии с Регламентом ЭП «РТС-тендер» на счете Участника, открытом ему оператором ЭП «РТС-тендер», дополнительно к обеспечению заявки должна быть внесена сумма в размере не менее установленной платы в соответствии с тарифами оператора ЭП «РТС-тендер».  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36645512" w:rsidR="00E45F1E" w:rsidRPr="000516F9" w:rsidRDefault="00892713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договора, а также основного обязательства</w:t>
            </w:r>
            <w:r w:rsidR="00B30555">
              <w:rPr>
                <w:rFonts w:ascii="Times New Roman" w:hAnsi="Times New Roman" w:cs="Times New Roman"/>
                <w:sz w:val="24"/>
                <w:szCs w:val="24"/>
              </w:rPr>
              <w:t>, указанного в п.п. 1.1. договора,</w:t>
            </w: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в размере аванса, что составляет 30 (тридцать) % от цены договора, в соответствии с п. 4.2.1. проекта договора. </w:t>
            </w:r>
            <w:r w:rsidRPr="0089271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срок предоставления обеспечения исполнения договора в соответствии с п.17</w:t>
            </w: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8927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92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 о проведении конкурса в электронной форме.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3BF11FB1" w14:textId="2077ED38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050" w:type="dxa"/>
          </w:tcPr>
          <w:p w14:paraId="2C598C97" w14:textId="5635678A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5F1E" w:rsidRPr="002263AD" w14:paraId="61C57968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  <w:hideMark/>
          </w:tcPr>
          <w:p w14:paraId="760E4B7E" w14:textId="72164F48" w:rsidR="00E45F1E" w:rsidRPr="002263AD" w:rsidRDefault="00E45F1E" w:rsidP="00E45F1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vAlign w:val="center"/>
            <w:hideMark/>
          </w:tcPr>
          <w:p w14:paraId="1D730CF9" w14:textId="1319A991" w:rsidR="00E45F1E" w:rsidRPr="002263A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 конкурса</w:t>
            </w:r>
            <w:r w:rsidR="00F472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электронной форме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576E1" w:rsidRPr="002263AD" w14:paraId="6DC52EBE" w14:textId="77777777" w:rsidTr="00D04F5E">
        <w:trPr>
          <w:trHeight w:val="237"/>
          <w:tblCellSpacing w:w="15" w:type="dxa"/>
        </w:trPr>
        <w:tc>
          <w:tcPr>
            <w:tcW w:w="4148" w:type="dxa"/>
            <w:vAlign w:val="center"/>
          </w:tcPr>
          <w:p w14:paraId="407F0678" w14:textId="65E1493B" w:rsidR="009576E1" w:rsidRDefault="009576E1" w:rsidP="00E45F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76E1">
              <w:rPr>
                <w:rFonts w:ascii="Times New Roman" w:hAnsi="Times New Roman" w:cs="Times New Roman"/>
                <w:i/>
                <w:sz w:val="24"/>
                <w:szCs w:val="24"/>
              </w:rPr>
              <w:t>14. Дополнительная информация</w:t>
            </w:r>
            <w:r w:rsidRPr="009576E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6050" w:type="dxa"/>
            <w:vAlign w:val="center"/>
          </w:tcPr>
          <w:p w14:paraId="64280142" w14:textId="0EC33A66" w:rsidR="009576E1" w:rsidRPr="009576E1" w:rsidRDefault="009576E1" w:rsidP="00E45F1E">
            <w:pPr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  <w:r w:rsidRPr="009576E1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</w:t>
            </w:r>
          </w:p>
        </w:tc>
      </w:tr>
    </w:tbl>
    <w:p w14:paraId="12EAB3E2" w14:textId="5103B13A" w:rsidR="00FD205B" w:rsidRDefault="00FD205B" w:rsidP="00F868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F8683C">
      <w:pgSz w:w="11906" w:h="16838"/>
      <w:pgMar w:top="28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51437E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140032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079CC"/>
    <w:rsid w:val="000107AF"/>
    <w:rsid w:val="00011DAB"/>
    <w:rsid w:val="00012385"/>
    <w:rsid w:val="00012AE9"/>
    <w:rsid w:val="00013283"/>
    <w:rsid w:val="00016501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2962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3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1CA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3DD8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F43"/>
    <w:rsid w:val="003639B4"/>
    <w:rsid w:val="003653B9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25EF5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2FB6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45C"/>
    <w:rsid w:val="00551EDE"/>
    <w:rsid w:val="00556815"/>
    <w:rsid w:val="00560BBA"/>
    <w:rsid w:val="00562CF9"/>
    <w:rsid w:val="00563227"/>
    <w:rsid w:val="00564B01"/>
    <w:rsid w:val="00565E4B"/>
    <w:rsid w:val="0056609B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7196"/>
    <w:rsid w:val="005F13AA"/>
    <w:rsid w:val="005F4E3B"/>
    <w:rsid w:val="005F66F4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49BA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4C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67815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85894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7D9A"/>
    <w:rsid w:val="0088025F"/>
    <w:rsid w:val="00880D75"/>
    <w:rsid w:val="00880D99"/>
    <w:rsid w:val="00882E0B"/>
    <w:rsid w:val="008917A8"/>
    <w:rsid w:val="00892713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0B3D"/>
    <w:rsid w:val="008C1012"/>
    <w:rsid w:val="008C7307"/>
    <w:rsid w:val="008C7B82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576E1"/>
    <w:rsid w:val="009679DB"/>
    <w:rsid w:val="0097063B"/>
    <w:rsid w:val="00972DE3"/>
    <w:rsid w:val="00973037"/>
    <w:rsid w:val="00973BDA"/>
    <w:rsid w:val="00974D81"/>
    <w:rsid w:val="00974F08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0863"/>
    <w:rsid w:val="009F3393"/>
    <w:rsid w:val="009F352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15EB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1FAB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0555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661C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50A01"/>
    <w:rsid w:val="00C51742"/>
    <w:rsid w:val="00C55227"/>
    <w:rsid w:val="00C57CF5"/>
    <w:rsid w:val="00C61E86"/>
    <w:rsid w:val="00C70111"/>
    <w:rsid w:val="00C718EE"/>
    <w:rsid w:val="00C728C2"/>
    <w:rsid w:val="00C759B7"/>
    <w:rsid w:val="00C76A4A"/>
    <w:rsid w:val="00C800F6"/>
    <w:rsid w:val="00C81E1F"/>
    <w:rsid w:val="00C827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0636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66F1"/>
    <w:rsid w:val="00F472B5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83C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58AA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0D7354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263</cp:revision>
  <cp:lastPrinted>2024-04-03T09:28:00Z</cp:lastPrinted>
  <dcterms:created xsi:type="dcterms:W3CDTF">2018-08-28T13:42:00Z</dcterms:created>
  <dcterms:modified xsi:type="dcterms:W3CDTF">2024-05-16T14:04:00Z</dcterms:modified>
</cp:coreProperties>
</file>