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AC" w:rsidRPr="00823E3E" w:rsidRDefault="000329AC" w:rsidP="000329AC">
      <w:pPr>
        <w:pStyle w:val="ConsPlusNormal"/>
        <w:ind w:left="638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0329AC" w:rsidRPr="00823E3E" w:rsidRDefault="000329AC" w:rsidP="000329A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Генеральный директор</w:t>
      </w:r>
    </w:p>
    <w:p w:rsidR="000329AC" w:rsidRPr="00823E3E" w:rsidRDefault="000329AC" w:rsidP="000329A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АО «ОЭЗ ППТ «Липецк»</w:t>
      </w:r>
    </w:p>
    <w:p w:rsidR="000329AC" w:rsidRPr="00823E3E" w:rsidRDefault="000329AC" w:rsidP="000329A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_____________ И.Н. Кошелев</w:t>
      </w:r>
    </w:p>
    <w:p w:rsidR="000329AC" w:rsidRPr="00823E3E" w:rsidRDefault="000329AC" w:rsidP="000329A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«____» ______________20__ г.</w:t>
      </w:r>
    </w:p>
    <w:p w:rsidR="00DB35DE" w:rsidRPr="008D761E" w:rsidRDefault="00DB35DE" w:rsidP="008D761E">
      <w:pPr>
        <w:pStyle w:val="ConsPlusNormal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8D76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6"/>
      <w:bookmarkEnd w:id="0"/>
      <w:r w:rsidRPr="00AB401E">
        <w:rPr>
          <w:rFonts w:ascii="Times New Roman" w:hAnsi="Times New Roman" w:cs="Times New Roman"/>
          <w:sz w:val="26"/>
          <w:szCs w:val="26"/>
        </w:rPr>
        <w:t>ТИПОВ</w:t>
      </w:r>
      <w:r w:rsidR="000329AC">
        <w:rPr>
          <w:rFonts w:ascii="Times New Roman" w:hAnsi="Times New Roman" w:cs="Times New Roman"/>
          <w:sz w:val="26"/>
          <w:szCs w:val="26"/>
        </w:rPr>
        <w:t xml:space="preserve">АЯ ФОРМА </w:t>
      </w:r>
      <w:r w:rsidRPr="00AB401E">
        <w:rPr>
          <w:rFonts w:ascii="Times New Roman" w:hAnsi="Times New Roman" w:cs="Times New Roman"/>
          <w:sz w:val="26"/>
          <w:szCs w:val="26"/>
        </w:rPr>
        <w:t>ДОГОВОР</w:t>
      </w:r>
      <w:r w:rsidR="000329AC">
        <w:rPr>
          <w:rFonts w:ascii="Times New Roman" w:hAnsi="Times New Roman" w:cs="Times New Roman"/>
          <w:sz w:val="26"/>
          <w:szCs w:val="26"/>
        </w:rPr>
        <w:t>А</w:t>
      </w:r>
    </w:p>
    <w:p w:rsidR="00DB35DE" w:rsidRDefault="00481108" w:rsidP="008D76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B35DE" w:rsidRPr="00AB401E">
        <w:rPr>
          <w:rFonts w:ascii="Times New Roman" w:hAnsi="Times New Roman" w:cs="Times New Roman"/>
          <w:sz w:val="26"/>
          <w:szCs w:val="26"/>
        </w:rPr>
        <w:t>одоотведения</w:t>
      </w:r>
    </w:p>
    <w:p w:rsidR="008D761E" w:rsidRDefault="008D761E" w:rsidP="008D761E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 w:firstLine="851"/>
        <w:rPr>
          <w:rFonts w:ascii="Times New Roman" w:hAnsi="Times New Roman" w:cs="Times New Roman"/>
          <w:spacing w:val="-4"/>
          <w:sz w:val="26"/>
          <w:szCs w:val="26"/>
        </w:rPr>
      </w:pPr>
    </w:p>
    <w:p w:rsidR="008D761E" w:rsidRPr="00AB401E" w:rsidRDefault="008D761E" w:rsidP="008D761E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/>
        <w:rPr>
          <w:rFonts w:ascii="Times New Roman" w:hAnsi="Times New Roman" w:cs="Times New Roman"/>
          <w:spacing w:val="-6"/>
          <w:sz w:val="26"/>
          <w:szCs w:val="26"/>
        </w:rPr>
      </w:pPr>
      <w:r w:rsidRPr="00AB401E">
        <w:rPr>
          <w:rFonts w:ascii="Times New Roman" w:hAnsi="Times New Roman" w:cs="Times New Roman"/>
          <w:spacing w:val="-4"/>
          <w:sz w:val="26"/>
          <w:szCs w:val="26"/>
        </w:rPr>
        <w:t>___________________________</w:t>
      </w:r>
      <w:r w:rsidRPr="00AB401E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4784E" w:rsidRPr="00AB401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401E">
        <w:rPr>
          <w:rFonts w:ascii="Times New Roman" w:hAnsi="Times New Roman" w:cs="Times New Roman"/>
          <w:sz w:val="26"/>
          <w:szCs w:val="26"/>
        </w:rPr>
        <w:t xml:space="preserve">   «___» _________ </w:t>
      </w:r>
      <w:r w:rsidRPr="00AB401E">
        <w:rPr>
          <w:rFonts w:ascii="Times New Roman" w:hAnsi="Times New Roman" w:cs="Times New Roman"/>
          <w:spacing w:val="-6"/>
          <w:sz w:val="26"/>
          <w:szCs w:val="26"/>
        </w:rPr>
        <w:t>20__ г.</w:t>
      </w:r>
    </w:p>
    <w:p w:rsidR="008D761E" w:rsidRPr="00AB401E" w:rsidRDefault="008D761E" w:rsidP="008D761E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 w:firstLine="851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0329AC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Акционерное общество </w:t>
      </w:r>
      <w:r w:rsidRPr="000329AC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«Особая экономическая зона промышленно-производственного типа «Липецк»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(</w:t>
      </w:r>
      <w:r w:rsidR="008D761E" w:rsidRPr="00AB401E">
        <w:rPr>
          <w:rStyle w:val="a3"/>
          <w:rFonts w:ascii="Times New Roman" w:hAnsi="Times New Roman" w:cs="Times New Roman"/>
          <w:color w:val="auto"/>
          <w:sz w:val="26"/>
          <w:szCs w:val="26"/>
        </w:rPr>
        <w:t>АО «ОЭЗ ППТ «Липецк»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)</w:t>
      </w:r>
      <w:r w:rsidR="008D761E" w:rsidRPr="00AB401E">
        <w:rPr>
          <w:rFonts w:ascii="Times New Roman" w:hAnsi="Times New Roman" w:cs="Times New Roman"/>
          <w:sz w:val="26"/>
          <w:szCs w:val="26"/>
        </w:rPr>
        <w:t>, именуемое в дальнейшем «</w:t>
      </w:r>
      <w:r w:rsidR="009E48FA" w:rsidRPr="00AB401E">
        <w:rPr>
          <w:rFonts w:ascii="Times New Roman" w:hAnsi="Times New Roman" w:cs="Times New Roman"/>
          <w:sz w:val="26"/>
          <w:szCs w:val="26"/>
        </w:rPr>
        <w:t>Гарантирующая организация</w:t>
      </w:r>
      <w:r w:rsidR="008D761E" w:rsidRPr="00AB401E">
        <w:rPr>
          <w:rFonts w:ascii="Times New Roman" w:hAnsi="Times New Roman" w:cs="Times New Roman"/>
          <w:sz w:val="26"/>
          <w:szCs w:val="26"/>
        </w:rPr>
        <w:t xml:space="preserve">», в лице </w:t>
      </w:r>
      <w:r w:rsidR="008D761E" w:rsidRPr="00AB401E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______________________</w:t>
      </w:r>
      <w:r w:rsidR="008D761E" w:rsidRPr="00AB401E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_________, с одной стороны и __________________________, именуемое в дальнейшем «Абонент», в лице _______________________________________, действующего на основании _____________, с другой стороны, именуемые в дальнейшем «Стороны», заключили настоящий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8D761E" w:rsidRPr="00AB401E">
        <w:rPr>
          <w:rFonts w:ascii="Times New Roman" w:hAnsi="Times New Roman" w:cs="Times New Roman"/>
          <w:sz w:val="26"/>
          <w:szCs w:val="26"/>
        </w:rPr>
        <w:t>оговор о нижеследующем:</w:t>
      </w:r>
    </w:p>
    <w:p w:rsidR="008D761E" w:rsidRPr="00AB401E" w:rsidRDefault="008D761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8D76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I. Предмет </w:t>
      </w:r>
      <w:r w:rsidR="000329AC">
        <w:rPr>
          <w:rFonts w:ascii="Times New Roman" w:hAnsi="Times New Roman" w:cs="Times New Roman"/>
          <w:b/>
          <w:sz w:val="26"/>
          <w:szCs w:val="26"/>
        </w:rPr>
        <w:t>Д</w:t>
      </w:r>
      <w:r w:rsidRPr="00AB401E">
        <w:rPr>
          <w:rFonts w:ascii="Times New Roman" w:hAnsi="Times New Roman" w:cs="Times New Roman"/>
          <w:b/>
          <w:sz w:val="26"/>
          <w:szCs w:val="26"/>
        </w:rPr>
        <w:t>оговора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1.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 </w:t>
      </w:r>
      <w:r w:rsidR="00BD7923" w:rsidRPr="00AB401E">
        <w:rPr>
          <w:rFonts w:ascii="Times New Roman" w:hAnsi="Times New Roman" w:cs="Times New Roman"/>
          <w:sz w:val="26"/>
          <w:szCs w:val="26"/>
        </w:rPr>
        <w:t>Гарантирующая организация</w:t>
      </w:r>
      <w:r w:rsidRPr="00AB401E">
        <w:rPr>
          <w:rFonts w:ascii="Times New Roman" w:hAnsi="Times New Roman" w:cs="Times New Roman"/>
          <w:sz w:val="26"/>
          <w:szCs w:val="26"/>
        </w:rPr>
        <w:t xml:space="preserve">, осуществляющая водоотведение, обязуется осуществлять прием сточных вод </w:t>
      </w:r>
      <w:r w:rsidR="00E86AAB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в централизованную систему водоотведения и обеспечивать их транспортировку, очистку и сброс в водный объект, а </w:t>
      </w:r>
      <w:r w:rsidR="00E86AAB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обязуется 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допустимых сбросов загрязняющих веществ, иных веществ и микроорганизмов (далее - нормативы допустимых сбросов абонентов), лимиты на сбросы загрязняющих веществ, иных веществ и микроорганизмов (далее - лимиты на сбросы),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 централизованные системы водоотведения сточных вод (далее - нормативы по объему сточных вод) и нормативы водоотведения по составу сточных вод и производить </w:t>
      </w:r>
      <w:r w:rsidR="00BD7923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оплату водоотведения в сроки, порядке и размере, которые определены в настоящем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оговоре.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2. Границы балансовой принадлежности и эксплуатационной ответственности объектов централизованных систем водоотведения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N1</w:t>
      </w:r>
      <w:r w:rsidR="003A3D6A">
        <w:rPr>
          <w:rFonts w:ascii="Times New Roman" w:hAnsi="Times New Roman" w:cs="Times New Roman"/>
          <w:sz w:val="26"/>
          <w:szCs w:val="26"/>
        </w:rPr>
        <w:t xml:space="preserve"> к настоящему Договору</w:t>
      </w:r>
      <w:r w:rsidRPr="00AB401E">
        <w:rPr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3. Акт разграничения балансовой принадлежности и эксплуатационной ответственности, приведенный в приложении N1 к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оговору, подлежит подписанию при заключении настоящего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 и является его неотъемлемой частью.</w:t>
      </w:r>
    </w:p>
    <w:p w:rsidR="00DB35DE" w:rsidRPr="00AB401E" w:rsidRDefault="00DB35DE" w:rsidP="0082537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Местом исполнения обязательств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</w:t>
      </w:r>
      <w:r w:rsidR="00ED62C2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является</w:t>
      </w:r>
      <w:r w:rsidR="00825376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DB35DE" w:rsidRPr="00AB401E" w:rsidRDefault="00DB35DE" w:rsidP="00485ECE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(указать место на канализационной сети)</w:t>
      </w:r>
    </w:p>
    <w:p w:rsidR="0074784E" w:rsidRPr="00AB401E" w:rsidRDefault="0074784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8253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II. Сроки и режим приема сточных вод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4. Датой начала приема сточных вод является "__" ______________ 20__ г.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5. Сведения о режиме приема сточных вод указываются в соответствии с условиями подключения (технологического присоединения) к централизованной системе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>водоотведения по форме согласно приложению N</w:t>
      </w:r>
      <w:r w:rsidR="00FF7154">
        <w:rPr>
          <w:rFonts w:ascii="Times New Roman" w:hAnsi="Times New Roman" w:cs="Times New Roman"/>
          <w:sz w:val="26"/>
          <w:szCs w:val="26"/>
        </w:rPr>
        <w:t>2</w:t>
      </w:r>
      <w:r w:rsidR="003A3D6A">
        <w:rPr>
          <w:rFonts w:ascii="Times New Roman" w:hAnsi="Times New Roman" w:cs="Times New Roman"/>
          <w:sz w:val="26"/>
          <w:szCs w:val="26"/>
        </w:rPr>
        <w:t xml:space="preserve"> к настоящему Договору</w:t>
      </w:r>
      <w:r w:rsidR="003A3D6A" w:rsidRPr="00AB401E">
        <w:rPr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8253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III. Тарифы, сроки и порядок оплаты</w:t>
      </w:r>
    </w:p>
    <w:p w:rsidR="00825376" w:rsidRDefault="00DB35DE" w:rsidP="00825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6. Оплата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 осуществляется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по тарифам на водоотведение, установленным в соответствии с законодательством Российской Федерации о государственном регулировании цен (тарифов). </w:t>
      </w:r>
      <w:r w:rsidR="00825376" w:rsidRPr="00AB401E">
        <w:rPr>
          <w:rFonts w:ascii="Times New Roman" w:hAnsi="Times New Roman" w:cs="Times New Roman"/>
          <w:sz w:val="26"/>
          <w:szCs w:val="26"/>
        </w:rPr>
        <w:t>НДС (18%) взимается сверх установленного тарифа.</w:t>
      </w:r>
    </w:p>
    <w:p w:rsidR="00481108" w:rsidRPr="00AB401E" w:rsidRDefault="00481108" w:rsidP="00825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Тариф, установленный на момент заключения настоящего Договора</w:t>
      </w:r>
      <w:r w:rsidR="006A6C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_________________________________________________________________________</w:t>
      </w:r>
    </w:p>
    <w:p w:rsidR="00825376" w:rsidRPr="00AB401E" w:rsidRDefault="00825376" w:rsidP="00825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Тариф в течение срока действия настоящего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 может быть изменен уполномоченным органом в сфере регулирования</w:t>
      </w:r>
      <w:r w:rsidRPr="00AB40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цен (тарифов).</w:t>
      </w:r>
    </w:p>
    <w:p w:rsidR="00DB35DE" w:rsidRPr="00AB401E" w:rsidRDefault="00825376" w:rsidP="00825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Изменение тарифа вводится со дня утверждения тарифа уполномоченным органом в сфере регулирования цен (тарифов). В случае изменения тарифа производится корректировка ежемесячного платежа Абонента без дополнительного письменного оформления. Сообщение об изменении тарифа производится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="00481108">
        <w:rPr>
          <w:rFonts w:ascii="Times New Roman" w:hAnsi="Times New Roman" w:cs="Times New Roman"/>
          <w:sz w:val="26"/>
          <w:szCs w:val="26"/>
        </w:rPr>
        <w:t xml:space="preserve">по запросу Абонента, </w:t>
      </w:r>
      <w:r w:rsidRPr="00AB401E">
        <w:rPr>
          <w:rFonts w:ascii="Times New Roman" w:hAnsi="Times New Roman" w:cs="Times New Roman"/>
          <w:sz w:val="26"/>
          <w:szCs w:val="26"/>
        </w:rPr>
        <w:t>путем направления в адрес Абонента письменного уведомления.</w:t>
      </w:r>
      <w:r w:rsidR="009F27BF" w:rsidRPr="00AB40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7. Расчетный период, установленный настоящим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оговором, равен одному календарному месяцу. Абонент вносит оплату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 в следующем порядке (если иное не предусмотрено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50 процентов стоимости объема сточных вод, сброшенных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оговоре), вносится до 18-го числа текущего месяца;</w:t>
      </w:r>
    </w:p>
    <w:p w:rsidR="00DB35DE" w:rsidRPr="00AB401E" w:rsidRDefault="00DB35DE" w:rsidP="00FB0BC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оплата за фактически оказанные услуги водоотведения в истекшем месяце с учетом средств, ранее внесенных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 не позднее 5-го числа месяца, следующего за расчетным месяцем.</w:t>
      </w:r>
    </w:p>
    <w:p w:rsidR="00825376" w:rsidRPr="00AB401E" w:rsidRDefault="00825376" w:rsidP="00FB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5"/>
          <w:rFonts w:ascii="Times New Roman" w:hAnsi="Times New Roman" w:cs="Times New Roman"/>
          <w:sz w:val="26"/>
          <w:szCs w:val="26"/>
        </w:rPr>
      </w:pPr>
      <w:r w:rsidRPr="00AB401E">
        <w:rPr>
          <w:rStyle w:val="FontStyle25"/>
          <w:rFonts w:ascii="Times New Roman" w:hAnsi="Times New Roman" w:cs="Times New Roman"/>
          <w:sz w:val="26"/>
          <w:szCs w:val="26"/>
        </w:rPr>
        <w:t>В платежных поручениях обязательно должны быть указаны следующие сведения: наименование услуг, номер договора. В противном случае поступившая сумма относится на кредиторскую задолженность до выяснения назначения платежа.</w:t>
      </w:r>
    </w:p>
    <w:p w:rsidR="00825376" w:rsidRPr="00AB401E" w:rsidRDefault="00485ECE" w:rsidP="00FB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="00825376" w:rsidRPr="00AB401E">
        <w:rPr>
          <w:rFonts w:ascii="Times New Roman" w:hAnsi="Times New Roman" w:cs="Times New Roman"/>
          <w:sz w:val="26"/>
          <w:szCs w:val="26"/>
        </w:rPr>
        <w:t xml:space="preserve">направляет Абоненту акт приема-передачи </w:t>
      </w:r>
      <w:r w:rsidR="00931443" w:rsidRPr="00FB0BC3">
        <w:rPr>
          <w:rFonts w:ascii="Times New Roman" w:hAnsi="Times New Roman" w:cs="Times New Roman"/>
          <w:sz w:val="26"/>
          <w:szCs w:val="26"/>
        </w:rPr>
        <w:t xml:space="preserve">оказанных услуг </w:t>
      </w:r>
      <w:r w:rsidR="00FB0BC3">
        <w:rPr>
          <w:rFonts w:ascii="Times New Roman" w:hAnsi="Times New Roman" w:cs="Times New Roman"/>
          <w:sz w:val="26"/>
          <w:szCs w:val="26"/>
        </w:rPr>
        <w:t>(</w:t>
      </w:r>
      <w:r w:rsidR="00FB0BC3" w:rsidRPr="00D65049">
        <w:rPr>
          <w:rFonts w:ascii="Times New Roman" w:hAnsi="Times New Roman" w:cs="Times New Roman"/>
          <w:sz w:val="26"/>
          <w:szCs w:val="26"/>
        </w:rPr>
        <w:t>по форме согласно приложению N</w:t>
      </w:r>
      <w:r w:rsidR="005735F8">
        <w:rPr>
          <w:rFonts w:ascii="Times New Roman" w:hAnsi="Times New Roman" w:cs="Times New Roman"/>
          <w:sz w:val="26"/>
          <w:szCs w:val="26"/>
        </w:rPr>
        <w:t>6</w:t>
      </w:r>
      <w:r w:rsidR="00FB0BC3" w:rsidRP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FB0BC3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FB0BC3">
        <w:rPr>
          <w:rFonts w:ascii="Times New Roman" w:hAnsi="Times New Roman" w:cs="Times New Roman"/>
          <w:sz w:val="26"/>
          <w:szCs w:val="26"/>
        </w:rPr>
        <w:t>Д</w:t>
      </w:r>
      <w:r w:rsidR="00FB0BC3" w:rsidRPr="00D65049">
        <w:rPr>
          <w:rFonts w:ascii="Times New Roman" w:hAnsi="Times New Roman" w:cs="Times New Roman"/>
          <w:sz w:val="26"/>
          <w:szCs w:val="26"/>
        </w:rPr>
        <w:t>оговору</w:t>
      </w:r>
      <w:r w:rsidR="00FB0BC3">
        <w:rPr>
          <w:rFonts w:ascii="Times New Roman" w:hAnsi="Times New Roman" w:cs="Times New Roman"/>
          <w:sz w:val="26"/>
          <w:szCs w:val="26"/>
        </w:rPr>
        <w:t>)</w:t>
      </w:r>
      <w:r w:rsidR="00825376" w:rsidRPr="00AB401E">
        <w:rPr>
          <w:rFonts w:ascii="Times New Roman" w:hAnsi="Times New Roman" w:cs="Times New Roman"/>
          <w:sz w:val="26"/>
          <w:szCs w:val="26"/>
        </w:rPr>
        <w:t>, счет и счет-фактуру не позднее 5-го числа месяца, следующего за расчетным месяцем.</w:t>
      </w:r>
    </w:p>
    <w:p w:rsidR="00DB35DE" w:rsidRPr="00AB401E" w:rsidRDefault="00DB35DE" w:rsidP="00FB0BC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В случае если объем фактически оказанной услуги водоотведения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N776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сточных вод, за который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была произведена оплата, излишне уплаченная сумма засчитывается в счет последующего платежа за следующий месяц.</w:t>
      </w:r>
    </w:p>
    <w:p w:rsidR="00DB35D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Датой оплаты считается дата поступления денежных средств на расчетный счет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>.</w:t>
      </w:r>
    </w:p>
    <w:p w:rsidR="00003399" w:rsidRPr="00AB401E" w:rsidRDefault="00003399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25"/>
          <w:rFonts w:ascii="Times New Roman" w:hAnsi="Times New Roman" w:cs="Times New Roman"/>
          <w:sz w:val="26"/>
          <w:szCs w:val="26"/>
        </w:rPr>
        <w:t xml:space="preserve">Исполнение обязательств по оплате по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>
        <w:rPr>
          <w:rStyle w:val="FontStyle25"/>
          <w:rFonts w:ascii="Times New Roman" w:hAnsi="Times New Roman" w:cs="Times New Roman"/>
          <w:sz w:val="26"/>
          <w:szCs w:val="26"/>
        </w:rPr>
        <w:t xml:space="preserve">Договору засчитывается в погашение обязательств по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>
        <w:rPr>
          <w:rStyle w:val="FontStyle25"/>
          <w:rFonts w:ascii="Times New Roman" w:hAnsi="Times New Roman" w:cs="Times New Roman"/>
          <w:sz w:val="26"/>
          <w:szCs w:val="26"/>
        </w:rPr>
        <w:t xml:space="preserve">Договору, срок исполнения которых наступил </w:t>
      </w:r>
      <w:r>
        <w:rPr>
          <w:rStyle w:val="FontStyle25"/>
          <w:rFonts w:ascii="Times New Roman" w:hAnsi="Times New Roman" w:cs="Times New Roman"/>
          <w:sz w:val="26"/>
          <w:szCs w:val="26"/>
        </w:rPr>
        <w:lastRenderedPageBreak/>
        <w:t xml:space="preserve">ранее, </w:t>
      </w:r>
      <w:r w:rsidRPr="00003399">
        <w:rPr>
          <w:rStyle w:val="FontStyle25"/>
          <w:rFonts w:ascii="Times New Roman" w:hAnsi="Times New Roman" w:cs="Times New Roman"/>
          <w:sz w:val="26"/>
          <w:szCs w:val="26"/>
        </w:rPr>
        <w:t>в случае если в назначении платежа не указан период за который осуществляется оплата</w:t>
      </w:r>
      <w:r>
        <w:rPr>
          <w:rStyle w:val="FontStyle25"/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8. Сверка расчетов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 проводится между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</w:t>
      </w:r>
      <w:r w:rsidR="000329AC">
        <w:rPr>
          <w:rFonts w:ascii="Times New Roman" w:hAnsi="Times New Roman" w:cs="Times New Roman"/>
          <w:sz w:val="26"/>
          <w:szCs w:val="26"/>
        </w:rPr>
        <w:t>настоящему 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</w:t>
      </w:r>
      <w:r w:rsidR="000329AC">
        <w:rPr>
          <w:rFonts w:ascii="Times New Roman" w:hAnsi="Times New Roman" w:cs="Times New Roman"/>
          <w:sz w:val="26"/>
          <w:szCs w:val="26"/>
        </w:rPr>
        <w:t>настоящему 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 сторона, инициирующая проведение сверки расчетов по </w:t>
      </w:r>
      <w:r w:rsidR="000329AC">
        <w:rPr>
          <w:rFonts w:ascii="Times New Roman" w:hAnsi="Times New Roman" w:cs="Times New Roman"/>
          <w:sz w:val="26"/>
          <w:szCs w:val="26"/>
        </w:rPr>
        <w:t>настоящему Д</w:t>
      </w:r>
      <w:r w:rsidR="000329AC" w:rsidRPr="00AB401E">
        <w:rPr>
          <w:rFonts w:ascii="Times New Roman" w:hAnsi="Times New Roman" w:cs="Times New Roman"/>
          <w:sz w:val="26"/>
          <w:szCs w:val="26"/>
        </w:rPr>
        <w:t>оговору</w:t>
      </w:r>
      <w:r w:rsidRPr="00AB401E">
        <w:rPr>
          <w:rFonts w:ascii="Times New Roman" w:hAnsi="Times New Roman" w:cs="Times New Roman"/>
          <w:sz w:val="26"/>
          <w:szCs w:val="26"/>
        </w:rPr>
        <w:t>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9. Размер платы за негативное воздействие на работу централизованной системы водоотведения рассчитыва</w:t>
      </w:r>
      <w:r w:rsidR="00FB0BC3">
        <w:rPr>
          <w:rFonts w:ascii="Times New Roman" w:hAnsi="Times New Roman" w:cs="Times New Roman"/>
          <w:sz w:val="26"/>
          <w:szCs w:val="26"/>
        </w:rPr>
        <w:t>е</w:t>
      </w:r>
      <w:r w:rsidRPr="00AB401E">
        <w:rPr>
          <w:rFonts w:ascii="Times New Roman" w:hAnsi="Times New Roman" w:cs="Times New Roman"/>
          <w:sz w:val="26"/>
          <w:szCs w:val="26"/>
        </w:rPr>
        <w:t>тся в соответствии с требованиями законодательства Российской Федерации.</w:t>
      </w:r>
    </w:p>
    <w:p w:rsidR="00DB35DE" w:rsidRPr="00AB401E" w:rsidRDefault="00DB35DE" w:rsidP="008D761E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8253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IV. Права и обязанности </w:t>
      </w:r>
      <w:r w:rsidR="00825376" w:rsidRPr="00AB401E">
        <w:rPr>
          <w:rFonts w:ascii="Times New Roman" w:hAnsi="Times New Roman" w:cs="Times New Roman"/>
          <w:b/>
          <w:sz w:val="26"/>
          <w:szCs w:val="26"/>
        </w:rPr>
        <w:t>С</w:t>
      </w:r>
      <w:r w:rsidRPr="00AB401E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DB35DE" w:rsidRPr="00FB594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5945">
        <w:rPr>
          <w:rFonts w:ascii="Times New Roman" w:hAnsi="Times New Roman" w:cs="Times New Roman"/>
          <w:sz w:val="26"/>
          <w:szCs w:val="26"/>
          <w:u w:val="single"/>
        </w:rPr>
        <w:t xml:space="preserve">10. </w:t>
      </w:r>
      <w:r w:rsidR="00485ECE" w:rsidRPr="00FB5945">
        <w:rPr>
          <w:rFonts w:ascii="Times New Roman" w:hAnsi="Times New Roman" w:cs="Times New Roman"/>
          <w:sz w:val="26"/>
          <w:szCs w:val="26"/>
          <w:u w:val="single"/>
        </w:rPr>
        <w:t xml:space="preserve">Гарантирующая организация </w:t>
      </w:r>
      <w:r w:rsidRPr="00FB5945">
        <w:rPr>
          <w:rFonts w:ascii="Times New Roman" w:hAnsi="Times New Roman" w:cs="Times New Roman"/>
          <w:sz w:val="26"/>
          <w:szCs w:val="26"/>
          <w:u w:val="single"/>
        </w:rPr>
        <w:t>обязана: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б) при участии представителя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осуществлять допуск к эксплуатации узла учета (если в соответствии с требованиями законодательства Российской Федерации абонент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 соблюдать установленный режим приема сточных вод;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г) предупреждать </w:t>
      </w:r>
      <w:r w:rsidR="008253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о временном прекращении или ограничении</w:t>
      </w:r>
      <w:r w:rsidR="00822EDD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водоотведения в порядке и случаях, которые предусмотрены настоящим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оговором и нормативными правовыми актами Российской Федерации;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д) принимать необходимые меры по своевременной ликвидации аварий и повреждений на централизованной системе водоотведения, принадлежащей </w:t>
      </w:r>
      <w:r w:rsidR="006A6C45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е) требовать от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ж) осуществлять контроль за соблюдением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режима водоотведения,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</w:t>
      </w:r>
      <w:r w:rsidR="00ED62C2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з) предоставлять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lastRenderedPageBreak/>
        <w:t xml:space="preserve">и) отвечать на жалобы и обращения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бонента, относ</w:t>
      </w:r>
      <w:r w:rsidR="000329AC">
        <w:rPr>
          <w:rFonts w:ascii="Times New Roman" w:hAnsi="Times New Roman" w:cs="Times New Roman"/>
          <w:sz w:val="26"/>
          <w:szCs w:val="26"/>
        </w:rPr>
        <w:t>ящиеся к исполнению настоящего Д</w:t>
      </w:r>
      <w:r w:rsidRPr="00AB401E">
        <w:rPr>
          <w:rFonts w:ascii="Times New Roman" w:hAnsi="Times New Roman" w:cs="Times New Roman"/>
          <w:sz w:val="26"/>
          <w:szCs w:val="26"/>
        </w:rPr>
        <w:t>оговора, в течение срока, установленного законодательством Российской Федерации;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к) уведомлять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о графиках и сроках проведения планово-предупредительного ремонта канализационных сетей, через которые осуществляется водоотведение сточных вод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л) опломбировать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 приборы учета сточных вод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DB35DE" w:rsidRPr="00FB594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5945">
        <w:rPr>
          <w:rFonts w:ascii="Times New Roman" w:hAnsi="Times New Roman" w:cs="Times New Roman"/>
          <w:sz w:val="26"/>
          <w:szCs w:val="26"/>
          <w:u w:val="single"/>
        </w:rPr>
        <w:t xml:space="preserve">11. </w:t>
      </w:r>
      <w:r w:rsidR="00485ECE" w:rsidRPr="00FB5945">
        <w:rPr>
          <w:rFonts w:ascii="Times New Roman" w:hAnsi="Times New Roman" w:cs="Times New Roman"/>
          <w:sz w:val="26"/>
          <w:szCs w:val="26"/>
          <w:u w:val="single"/>
        </w:rPr>
        <w:t>Гарантирующая о</w:t>
      </w:r>
      <w:r w:rsidRPr="00FB5945">
        <w:rPr>
          <w:rFonts w:ascii="Times New Roman" w:hAnsi="Times New Roman" w:cs="Times New Roman"/>
          <w:sz w:val="26"/>
          <w:szCs w:val="26"/>
          <w:u w:val="single"/>
        </w:rPr>
        <w:t>рганизация имеет право: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осуществлять контроль за правильностью осуществления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учета объемов отведенных сточных вод;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б) осуществлять контроль за наличием самовольного пользования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и (или) самовольного подключения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к централизованной системе водоотведения и принимать меры по предотвращению самовольного пользования и (или) самовольного подключения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к централизованной системе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</w:t>
      </w:r>
      <w:r w:rsidRPr="00AB40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временно прекращать или ограничивать водоотведение в случаях, предусмотренных законодательством Российской Федерации;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г) взимать с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плату за отведение сточных вод сверх установленных нормативов по объему сточных вод и нормативов водоотведения по составу 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д) инициировать проведение сверки расчетов по настоящему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оговору.</w:t>
      </w:r>
    </w:p>
    <w:p w:rsidR="00DB35DE" w:rsidRPr="00FB594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5945">
        <w:rPr>
          <w:rFonts w:ascii="Times New Roman" w:hAnsi="Times New Roman" w:cs="Times New Roman"/>
          <w:sz w:val="26"/>
          <w:szCs w:val="26"/>
          <w:u w:val="single"/>
        </w:rPr>
        <w:t>12. Абонент обязан: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обеспечивать эксплуатацию канализационных сетей, принадлежащих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б) обеспечивать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ответственности, а также не допускать хранения предметов, препятствующих доступу к узлам и приборам учета, механических, химических, электромагнитных или иных воздействий, которые могут искажать показания приборов учета;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в) обеспечивать учет отводимых сточных вод в порядке, установленном разделом V настоящего </w:t>
      </w:r>
      <w:r w:rsidR="000329AC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оговора, и в соответствии с Правилами организации коммерческого учета воды, сточных вод, если иное не предусмотрено настоящим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оговором;</w:t>
      </w:r>
    </w:p>
    <w:p w:rsidR="00DB35DE" w:rsidRPr="00AB401E" w:rsidRDefault="00DB35DE" w:rsidP="0030384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г) устанавливать приборы учета сточных вод на границах эксплуатационной ответственности или в ином месте, определенном в настоящем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оговоре, в случае если установка таких приборов предусмотрена Правилами холодного водоснабжения и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д) соблюдать установленный настоящим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оговором режим водоотведения;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е) производить оплату по настоящему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 в порядке, размере и сроки, которые определены в соответствии с настоящим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оговором, в том числе вносить плату за негативное воздействие на работу централизованной системы </w:t>
      </w:r>
      <w:r w:rsidR="00ED62C2" w:rsidRPr="00AB401E">
        <w:rPr>
          <w:rFonts w:ascii="Times New Roman" w:hAnsi="Times New Roman" w:cs="Times New Roman"/>
          <w:sz w:val="26"/>
          <w:szCs w:val="26"/>
        </w:rPr>
        <w:t xml:space="preserve">хозяйственно-бытового водоотведения </w:t>
      </w:r>
      <w:r w:rsidRPr="00AB401E">
        <w:rPr>
          <w:rFonts w:ascii="Times New Roman" w:hAnsi="Times New Roman" w:cs="Times New Roman"/>
          <w:sz w:val="26"/>
          <w:szCs w:val="26"/>
        </w:rPr>
        <w:t>и плату за нарушение нормативов по объему сточных вод и нормативов водоотведения по составу сточных вод, а также в случаях, установленных законодательством Российской Федерации, возмещать вред, причиненный водному объекту;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ж) обеспечивать беспрепятственный доступ представителям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или по ее указанию представителям иной организации к канализационным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 xml:space="preserve">сетям, местам отбора проб сточных вод и приборам учета в порядке и случаях, которые предусмотрены разделом VI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з) 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и) уведомлять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Гарантирующую организаци</w:t>
      </w:r>
      <w:r w:rsidR="004D71B5">
        <w:rPr>
          <w:rFonts w:ascii="Times New Roman" w:hAnsi="Times New Roman" w:cs="Times New Roman"/>
          <w:sz w:val="26"/>
          <w:szCs w:val="26"/>
        </w:rPr>
        <w:t>ю</w:t>
      </w:r>
      <w:r w:rsidRPr="00AB401E">
        <w:rPr>
          <w:rFonts w:ascii="Times New Roman" w:hAnsi="Times New Roman" w:cs="Times New Roman"/>
          <w:sz w:val="26"/>
          <w:szCs w:val="26"/>
        </w:rPr>
        <w:t xml:space="preserve"> в случае перехода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или пользования третьими лицами такими объектами, устройствами или сооружениями;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к) незамедлительно сообщать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>обо всех повреждениях или неисправностях на канализационных сетях, сооружениях и устройствах, о нарушениях работы централизованной системы</w:t>
      </w:r>
      <w:r w:rsidR="00ED62C2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л) обеспечивать в сроки, установленные законодательством Российской Федерации, ликвидацию повреждений или неисправностей канализационных сетей, принадлежащих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м) предоставлять иным абонентам и транзитным организациям возможность подключения (присоединения) к канализационным сетям, сооружениям и устройствам, принадлежащим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боненту на законном основании, только по согласованию с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>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н) представлять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 xml:space="preserve">сведения об абонентах, в отношении которых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выполняет функции транзитной организации, по форме и в объеме, которые согласованы </w:t>
      </w:r>
      <w:r w:rsidR="00ED62C2" w:rsidRPr="00AB401E">
        <w:rPr>
          <w:rFonts w:ascii="Times New Roman" w:hAnsi="Times New Roman" w:cs="Times New Roman"/>
          <w:sz w:val="26"/>
          <w:szCs w:val="26"/>
        </w:rPr>
        <w:t>С</w:t>
      </w:r>
      <w:r w:rsidRPr="00AB401E">
        <w:rPr>
          <w:rFonts w:ascii="Times New Roman" w:hAnsi="Times New Roman" w:cs="Times New Roman"/>
          <w:sz w:val="26"/>
          <w:szCs w:val="26"/>
        </w:rPr>
        <w:t xml:space="preserve">торонами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о)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бонента;</w:t>
      </w:r>
    </w:p>
    <w:p w:rsidR="00DB35DE" w:rsidRPr="00AB401E" w:rsidRDefault="00DB35DE" w:rsidP="004A76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п) не допускать возведения построек, гаражей, стоянок транспортных средств, складирования материалов, мусора, древопосадок,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эксплуатационной ответственности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бонента, без согласия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>;</w:t>
      </w:r>
    </w:p>
    <w:p w:rsidR="00DB35DE" w:rsidRPr="00AB401E" w:rsidRDefault="00DB35DE" w:rsidP="004A76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р) осуществлять сброс сточных вод от напорных коллекторов </w:t>
      </w:r>
      <w:r w:rsidR="00ED62C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в самотечную сеть канализации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>через колодец - гаситель напора;</w:t>
      </w:r>
    </w:p>
    <w:p w:rsidR="00DB35DE" w:rsidRPr="00AB401E" w:rsidRDefault="00DB35DE" w:rsidP="004A76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с) обеспечивать локальную очистку сточных вод в случаях, предусмотренных Правилами холодного водоснабжения и водоотведения;</w:t>
      </w:r>
    </w:p>
    <w:p w:rsidR="00DB35DE" w:rsidRPr="00AB401E" w:rsidRDefault="00DB35DE" w:rsidP="004A76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т) в случаях, установленных Правилами холодного водоснабжения и водоотведения, подавать декларацию о составе и свойствах сточных вод (далее - декларация) и уведомлять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Гарантирующую организацию </w:t>
      </w:r>
      <w:r w:rsidRPr="00AB401E">
        <w:rPr>
          <w:rFonts w:ascii="Times New Roman" w:hAnsi="Times New Roman" w:cs="Times New Roman"/>
          <w:sz w:val="26"/>
          <w:szCs w:val="26"/>
        </w:rPr>
        <w:t>в случае нарушения декларации.</w:t>
      </w:r>
    </w:p>
    <w:p w:rsidR="00DB35DE" w:rsidRPr="00FB594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GoBack"/>
      <w:bookmarkEnd w:id="1"/>
      <w:r w:rsidRPr="00FB5945">
        <w:rPr>
          <w:rFonts w:ascii="Times New Roman" w:hAnsi="Times New Roman" w:cs="Times New Roman"/>
          <w:sz w:val="26"/>
          <w:szCs w:val="26"/>
          <w:u w:val="single"/>
        </w:rPr>
        <w:t>13. Абонент имеет право: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получать от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 xml:space="preserve">информацию о результатах контроля состава и свойств сточных вод, осуществляемого </w:t>
      </w:r>
      <w:r w:rsidR="0030384D" w:rsidRPr="00AB401E">
        <w:rPr>
          <w:rFonts w:ascii="Times New Roman" w:hAnsi="Times New Roman" w:cs="Times New Roman"/>
          <w:sz w:val="26"/>
          <w:szCs w:val="26"/>
        </w:rPr>
        <w:t>Гарантирующ</w:t>
      </w:r>
      <w:r w:rsidR="0030384D">
        <w:rPr>
          <w:rFonts w:ascii="Times New Roman" w:hAnsi="Times New Roman" w:cs="Times New Roman"/>
          <w:sz w:val="26"/>
          <w:szCs w:val="26"/>
        </w:rPr>
        <w:t>ей</w:t>
      </w:r>
      <w:r w:rsidR="0030384D" w:rsidRPr="00AB401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0384D">
        <w:rPr>
          <w:rFonts w:ascii="Times New Roman" w:hAnsi="Times New Roman" w:cs="Times New Roman"/>
          <w:sz w:val="26"/>
          <w:szCs w:val="26"/>
        </w:rPr>
        <w:t>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, в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>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N525 "Об утверждении Правил осуществления контроля состава и свойств сточных вод" (далее - Правила осуществления контроля состава и свойств сточных вод);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б) получать от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>информацию об изменении установленных тарифов на водоотведение;</w:t>
      </w:r>
    </w:p>
    <w:p w:rsidR="00DB35DE" w:rsidRPr="00AB401E" w:rsidRDefault="00DB35DE" w:rsidP="0020305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 привлекать третьих лиц для выполнения работ по устройству узла учета</w:t>
      </w:r>
      <w:r w:rsidR="00742074" w:rsidRPr="00AB401E">
        <w:rPr>
          <w:rFonts w:ascii="Times New Roman" w:hAnsi="Times New Roman" w:cs="Times New Roman"/>
          <w:sz w:val="26"/>
          <w:szCs w:val="26"/>
        </w:rPr>
        <w:t>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г) инициировать проведение сверки расчетов по настоящему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оговору;</w:t>
      </w:r>
    </w:p>
    <w:p w:rsidR="00DB35D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д) осуществлять в целях контроля состава и свойств сточных вод отбор проб сточных вод, в том числе параллельный отбор проб, принимать участие в отборе проб сточных вод, осуществляемом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>.</w:t>
      </w:r>
    </w:p>
    <w:p w:rsidR="0074289A" w:rsidRPr="00AB401E" w:rsidRDefault="0074289A" w:rsidP="008D761E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742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589"/>
      <w:bookmarkEnd w:id="2"/>
      <w:r w:rsidRPr="00AB401E">
        <w:rPr>
          <w:rFonts w:ascii="Times New Roman" w:hAnsi="Times New Roman" w:cs="Times New Roman"/>
          <w:b/>
          <w:sz w:val="26"/>
          <w:szCs w:val="26"/>
        </w:rPr>
        <w:t>V. Порядок осуществления учета принимаемых сточных</w:t>
      </w:r>
    </w:p>
    <w:p w:rsidR="00DB35DE" w:rsidRPr="00AB401E" w:rsidRDefault="00DB35DE" w:rsidP="007420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вод, сроки и способы предоставления </w:t>
      </w:r>
      <w:r w:rsidR="0030384D">
        <w:rPr>
          <w:rFonts w:ascii="Times New Roman" w:hAnsi="Times New Roman" w:cs="Times New Roman"/>
          <w:b/>
          <w:sz w:val="26"/>
          <w:szCs w:val="26"/>
        </w:rPr>
        <w:t xml:space="preserve">Гарантирующей </w:t>
      </w:r>
      <w:r w:rsidRPr="00AB401E">
        <w:rPr>
          <w:rFonts w:ascii="Times New Roman" w:hAnsi="Times New Roman" w:cs="Times New Roman"/>
          <w:b/>
          <w:sz w:val="26"/>
          <w:szCs w:val="26"/>
        </w:rPr>
        <w:t>организации</w:t>
      </w:r>
    </w:p>
    <w:p w:rsidR="00DB35DE" w:rsidRPr="00AB401E" w:rsidRDefault="00DB35DE" w:rsidP="007420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показаний</w:t>
      </w:r>
      <w:r w:rsidR="003038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b/>
          <w:sz w:val="26"/>
          <w:szCs w:val="26"/>
        </w:rPr>
        <w:t>приборов учета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14. Для учета объемов принятых сточных вод стороны используют приборы учета, если иное не предусмотрено Правилами организации коммерческого учета воды, сточных вод.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15. Сведения об узлах учета и приборах учета сточных вод и о местах отбора проб сточных вод указываются по форме согласно приложению N </w:t>
      </w:r>
      <w:r w:rsidR="005735F8">
        <w:rPr>
          <w:rFonts w:ascii="Times New Roman" w:hAnsi="Times New Roman" w:cs="Times New Roman"/>
          <w:sz w:val="26"/>
          <w:szCs w:val="26"/>
        </w:rPr>
        <w:t>3</w:t>
      </w:r>
      <w:r w:rsidR="003A3D6A" w:rsidRPr="003A3D6A">
        <w:rPr>
          <w:rFonts w:ascii="Times New Roman" w:hAnsi="Times New Roman" w:cs="Times New Roman"/>
          <w:sz w:val="26"/>
          <w:szCs w:val="26"/>
        </w:rPr>
        <w:t xml:space="preserve"> </w:t>
      </w:r>
      <w:r w:rsidR="003A3D6A">
        <w:rPr>
          <w:rFonts w:ascii="Times New Roman" w:hAnsi="Times New Roman" w:cs="Times New Roman"/>
          <w:sz w:val="26"/>
          <w:szCs w:val="26"/>
        </w:rPr>
        <w:t>к настоящему Договору</w:t>
      </w:r>
      <w:r w:rsidR="003A3D6A" w:rsidRPr="00AB401E">
        <w:rPr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74207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16. Коммерческий учет сточных вод в узлах учета обеспечивает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Абонент.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17. Количество принятых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организацией </w:t>
      </w:r>
      <w:r w:rsidRPr="00AB401E">
        <w:rPr>
          <w:rFonts w:ascii="Times New Roman" w:hAnsi="Times New Roman" w:cs="Times New Roman"/>
          <w:sz w:val="26"/>
          <w:szCs w:val="26"/>
        </w:rPr>
        <w:t>сточных вод определяется стороной, осуществляющей коммерческий учет поданной (полученной) холодной воды,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18. В случае отсутствия у </w:t>
      </w:r>
      <w:r w:rsidR="00742074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приборов учета сточных вод </w:t>
      </w:r>
      <w:r w:rsidR="00742074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606394">
        <w:rPr>
          <w:rFonts w:ascii="Times New Roman" w:hAnsi="Times New Roman" w:cs="Times New Roman"/>
          <w:sz w:val="26"/>
          <w:szCs w:val="26"/>
        </w:rPr>
        <w:t>в течение 60 дней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установить и ввести в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эксплуатацию приборы учета сточных вод (распространяется только на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бонентов, для которых установка приборов учета сточных вод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является обязательной в соответствии с законодательством Российской</w:t>
      </w:r>
      <w:r w:rsidR="00742074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Федерации).</w:t>
      </w:r>
      <w:r w:rsidR="009F27BF" w:rsidRPr="00AB40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074" w:rsidRPr="00AB401E" w:rsidRDefault="00DB35DE" w:rsidP="0074207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19. </w:t>
      </w:r>
      <w:r w:rsidR="00742074" w:rsidRPr="00AB401E">
        <w:rPr>
          <w:rFonts w:ascii="Times New Roman" w:hAnsi="Times New Roman" w:cs="Times New Roman"/>
          <w:sz w:val="26"/>
          <w:szCs w:val="26"/>
        </w:rPr>
        <w:t>Сторона, осуществляющая коммерческий учет принятых (отведенных) сточных вод, снимает показания приборов учета не позднее 27 числа расчетного периода, установленного настоящим Договором, либо осуществляет в случаях, предусмотренных Правилами организации коммерческого учета воды, сточных вод, расчет объема принятых (отведенных) сточных вод расчетным способом, вносит показания приборов учета в журнал учета принятых сточных вод, передает эти сведения другой стороне не позднее 28 числа расчетного периода.</w:t>
      </w:r>
    </w:p>
    <w:p w:rsidR="00DB35DE" w:rsidRPr="00AB401E" w:rsidRDefault="00DB35DE" w:rsidP="0074207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20. Передача сторонами сведений о показаниях приборов учета и другой информации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4784E" w:rsidRPr="00AB401E" w:rsidRDefault="0074784E" w:rsidP="00742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617"/>
      <w:bookmarkEnd w:id="3"/>
    </w:p>
    <w:p w:rsidR="00485ECE" w:rsidRPr="00AB401E" w:rsidRDefault="00DB35DE" w:rsidP="00485E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VI. Порядок обеспечения </w:t>
      </w:r>
      <w:r w:rsidR="00F41B5E" w:rsidRPr="00AB401E">
        <w:rPr>
          <w:rFonts w:ascii="Times New Roman" w:hAnsi="Times New Roman" w:cs="Times New Roman"/>
          <w:b/>
          <w:sz w:val="26"/>
          <w:szCs w:val="26"/>
        </w:rPr>
        <w:t>А</w:t>
      </w:r>
      <w:r w:rsidRPr="00AB401E">
        <w:rPr>
          <w:rFonts w:ascii="Times New Roman" w:hAnsi="Times New Roman" w:cs="Times New Roman"/>
          <w:b/>
          <w:sz w:val="26"/>
          <w:szCs w:val="26"/>
        </w:rPr>
        <w:t xml:space="preserve">бонентом доступа </w:t>
      </w:r>
      <w:r w:rsidR="00485ECE" w:rsidRPr="00AB401E">
        <w:rPr>
          <w:rFonts w:ascii="Times New Roman" w:hAnsi="Times New Roman" w:cs="Times New Roman"/>
          <w:b/>
          <w:sz w:val="26"/>
          <w:szCs w:val="26"/>
        </w:rPr>
        <w:t>Гарантирующей организации</w:t>
      </w:r>
    </w:p>
    <w:p w:rsidR="00DB35DE" w:rsidRPr="00AB401E" w:rsidRDefault="00DB35DE" w:rsidP="00822E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к канализационным</w:t>
      </w:r>
      <w:r w:rsidR="00485ECE" w:rsidRPr="00AB40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b/>
          <w:sz w:val="26"/>
          <w:szCs w:val="26"/>
        </w:rPr>
        <w:t>сетям (контрольным канализационным колодцам) и приборам</w:t>
      </w:r>
      <w:r w:rsidR="00822E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b/>
          <w:sz w:val="26"/>
          <w:szCs w:val="26"/>
        </w:rPr>
        <w:t>учета сточных вод в целях определения объема отводимых</w:t>
      </w:r>
    </w:p>
    <w:p w:rsidR="00DB35DE" w:rsidRPr="00AB401E" w:rsidRDefault="00DB35DE" w:rsidP="007420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сточных вод, их состава и свойств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21. Абонент обязан обеспечить представителям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или по ее указанию представителям иной организации доступ к канализационным сетям (контрольным канализационным колодцам) и приборам учета сточных вод в следующем порядке: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или по ее указанию иная организация предварительно, не позднее 15 минут до начала процедуры обследования или отбора проб, оповещает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б) уполномоченные представители </w:t>
      </w:r>
      <w:r w:rsidR="00485EC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 xml:space="preserve">или представители иной организации предъявляют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боненту служебное удостоверение или доверенность на совершение соответствующих действий от имени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или иной организации;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в) доступ к канализационным сетям (контрольным канализационным колодцам) и приборам учета сточных вод обеспечивается представителям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или по ее указанию представителям иной организации только в установленных местах отбора проб, местах установки узлов учета, приборов учета и иных устройств, предусмотренных настоящим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оговором;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г)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вправе принимать участие в проведении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всех проверок, предусмотренных настоящим разделом;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д) отказ в доступе представителям (недопуск представителей) </w:t>
      </w:r>
      <w:r w:rsidR="00485ECE" w:rsidRPr="00AB401E">
        <w:rPr>
          <w:rFonts w:ascii="Times New Roman" w:hAnsi="Times New Roman" w:cs="Times New Roman"/>
          <w:sz w:val="26"/>
          <w:szCs w:val="26"/>
        </w:rPr>
        <w:t>Гарантирующей организации</w:t>
      </w:r>
      <w:r w:rsidRPr="00AB401E">
        <w:rPr>
          <w:rFonts w:ascii="Times New Roman" w:hAnsi="Times New Roman" w:cs="Times New Roman"/>
          <w:sz w:val="26"/>
          <w:szCs w:val="26"/>
        </w:rPr>
        <w:t xml:space="preserve"> или</w:t>
      </w:r>
      <w:r w:rsidR="00E0188E" w:rsidRPr="00E0188E">
        <w:rPr>
          <w:rFonts w:ascii="Times New Roman" w:hAnsi="Times New Roman" w:cs="Times New Roman"/>
          <w:sz w:val="26"/>
          <w:szCs w:val="26"/>
        </w:rPr>
        <w:t xml:space="preserve"> </w:t>
      </w:r>
      <w:r w:rsidR="00E0188E">
        <w:rPr>
          <w:rFonts w:ascii="Times New Roman" w:hAnsi="Times New Roman" w:cs="Times New Roman"/>
          <w:sz w:val="26"/>
          <w:szCs w:val="26"/>
        </w:rPr>
        <w:t>действующей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 по ее указанию представителям иной организации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е) в случае невозможности отбора проб сточных вод из мест отбора проб сточных вод, предусмотренных настоящим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оговором, </w:t>
      </w:r>
      <w:r w:rsidR="00FB5945">
        <w:rPr>
          <w:rFonts w:ascii="Times New Roman" w:hAnsi="Times New Roman" w:cs="Times New Roman"/>
          <w:sz w:val="26"/>
          <w:szCs w:val="26"/>
        </w:rPr>
        <w:t xml:space="preserve">их </w:t>
      </w:r>
      <w:r w:rsidRPr="00AB401E">
        <w:rPr>
          <w:rFonts w:ascii="Times New Roman" w:hAnsi="Times New Roman" w:cs="Times New Roman"/>
          <w:sz w:val="26"/>
          <w:szCs w:val="26"/>
        </w:rPr>
        <w:t xml:space="preserve">отбор осуществляется в порядке, установленном </w:t>
      </w:r>
      <w:hyperlink r:id="rId7" w:history="1">
        <w:r w:rsidRPr="00AB401E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AB401E">
        <w:rPr>
          <w:rFonts w:ascii="Times New Roman" w:hAnsi="Times New Roman" w:cs="Times New Roman"/>
          <w:sz w:val="26"/>
          <w:szCs w:val="26"/>
        </w:rPr>
        <w:t xml:space="preserve"> осуществления контроля состава и свойств сточных вод.</w:t>
      </w:r>
    </w:p>
    <w:p w:rsidR="00DB35DE" w:rsidRPr="00AB401E" w:rsidRDefault="00DB35DE" w:rsidP="008D761E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B35DE" w:rsidRPr="00822EDD" w:rsidRDefault="00DB35DE" w:rsidP="00F41B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22EDD">
        <w:rPr>
          <w:rFonts w:ascii="Times New Roman" w:hAnsi="Times New Roman" w:cs="Times New Roman"/>
          <w:b/>
          <w:sz w:val="26"/>
          <w:szCs w:val="26"/>
        </w:rPr>
        <w:t>VII. Контроль состава и свойств сточных вод, места</w:t>
      </w:r>
    </w:p>
    <w:p w:rsidR="00DB35DE" w:rsidRPr="00822EDD" w:rsidRDefault="00DB35DE" w:rsidP="00F41B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22EDD">
        <w:rPr>
          <w:rFonts w:ascii="Times New Roman" w:hAnsi="Times New Roman" w:cs="Times New Roman"/>
          <w:b/>
          <w:sz w:val="26"/>
          <w:szCs w:val="26"/>
        </w:rPr>
        <w:t>и порядок отбора проб сточных вод</w:t>
      </w:r>
    </w:p>
    <w:p w:rsidR="00DB35DE" w:rsidRPr="00822EDD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2EDD">
        <w:rPr>
          <w:rFonts w:ascii="Times New Roman" w:hAnsi="Times New Roman" w:cs="Times New Roman"/>
          <w:sz w:val="26"/>
          <w:szCs w:val="26"/>
        </w:rPr>
        <w:t>22. Контроль состава и свойств сточных вод в отношении абонентов осуществляется в соответствии с Правилами осуществления контроля состава и свойств сточных вод.</w:t>
      </w:r>
    </w:p>
    <w:p w:rsidR="00DB35DE" w:rsidRPr="00822EDD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2EDD">
        <w:rPr>
          <w:rFonts w:ascii="Times New Roman" w:hAnsi="Times New Roman" w:cs="Times New Roman"/>
          <w:sz w:val="26"/>
          <w:szCs w:val="26"/>
        </w:rPr>
        <w:t>23. Сведения об узлах учета и приборах учета сточных вод и о местах отбора проб сточных вод приводятся по форме согласно приложению N</w:t>
      </w:r>
      <w:r w:rsidR="00AA7758" w:rsidRPr="00822EDD">
        <w:rPr>
          <w:rFonts w:ascii="Times New Roman" w:hAnsi="Times New Roman" w:cs="Times New Roman"/>
          <w:sz w:val="26"/>
          <w:szCs w:val="26"/>
        </w:rPr>
        <w:t>3</w:t>
      </w:r>
      <w:r w:rsidRPr="00822ED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4D71B5" w:rsidRPr="00822EDD">
        <w:rPr>
          <w:rFonts w:ascii="Times New Roman" w:hAnsi="Times New Roman" w:cs="Times New Roman"/>
          <w:sz w:val="26"/>
          <w:szCs w:val="26"/>
        </w:rPr>
        <w:t>Д</w:t>
      </w:r>
      <w:r w:rsidRPr="00822EDD">
        <w:rPr>
          <w:rFonts w:ascii="Times New Roman" w:hAnsi="Times New Roman" w:cs="Times New Roman"/>
          <w:sz w:val="26"/>
          <w:szCs w:val="26"/>
        </w:rPr>
        <w:t>оговору.</w:t>
      </w:r>
    </w:p>
    <w:p w:rsidR="00FB5945" w:rsidRPr="00481A19" w:rsidRDefault="00FB5945" w:rsidP="008D761E">
      <w:pPr>
        <w:pStyle w:val="ConsPlusNormal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B35DE" w:rsidRPr="00AB401E" w:rsidRDefault="00DB35DE" w:rsidP="00F41B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VIII. Порядок контроля за соблюдением абонентами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нормативов допустимых сбросов, лимитов на сбросы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и показателей декларации о составе и свойствах сточных вод,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нормативов по объему сточных вод и нормативов водоотведения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по составу сточных вод, требований к составу и свойствам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сточных вод, установленных в целях предотвращения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негативного воздействия на работу централизованной</w:t>
      </w:r>
    </w:p>
    <w:p w:rsidR="00DB35DE" w:rsidRPr="00AB401E" w:rsidRDefault="00DB35DE" w:rsidP="00F41B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системы водоотведения</w:t>
      </w:r>
    </w:p>
    <w:p w:rsidR="00DB35DE" w:rsidRPr="00C243A1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43A1">
        <w:rPr>
          <w:rFonts w:ascii="Times New Roman" w:hAnsi="Times New Roman" w:cs="Times New Roman"/>
          <w:sz w:val="26"/>
          <w:szCs w:val="26"/>
        </w:rPr>
        <w:t xml:space="preserve">24.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  <w:r w:rsidR="00BF23C0" w:rsidRPr="00C243A1">
        <w:rPr>
          <w:rFonts w:ascii="Times New Roman" w:hAnsi="Times New Roman" w:cs="Times New Roman"/>
          <w:sz w:val="26"/>
          <w:szCs w:val="26"/>
        </w:rPr>
        <w:t>Гарантирующая организация</w:t>
      </w:r>
      <w:r w:rsidRPr="00C243A1">
        <w:rPr>
          <w:rFonts w:ascii="Times New Roman" w:hAnsi="Times New Roman" w:cs="Times New Roman"/>
          <w:sz w:val="26"/>
          <w:szCs w:val="26"/>
        </w:rPr>
        <w:t xml:space="preserve"> уведомляет </w:t>
      </w:r>
      <w:r w:rsidR="00F41B5E" w:rsidRPr="00C243A1">
        <w:rPr>
          <w:rFonts w:ascii="Times New Roman" w:hAnsi="Times New Roman" w:cs="Times New Roman"/>
          <w:sz w:val="26"/>
          <w:szCs w:val="26"/>
        </w:rPr>
        <w:t>А</w:t>
      </w:r>
      <w:r w:rsidRPr="00C243A1">
        <w:rPr>
          <w:rFonts w:ascii="Times New Roman" w:hAnsi="Times New Roman" w:cs="Times New Roman"/>
          <w:sz w:val="26"/>
          <w:szCs w:val="26"/>
        </w:rPr>
        <w:t xml:space="preserve">бонента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</w:t>
      </w:r>
      <w:r w:rsidRPr="00C243A1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от уполномоченных органов исполнительной власти, органов местного самоуправления. Сведения о нормативах по объему сточных вод, установленных для </w:t>
      </w:r>
      <w:r w:rsidR="00F41B5E" w:rsidRPr="00C243A1">
        <w:rPr>
          <w:rFonts w:ascii="Times New Roman" w:hAnsi="Times New Roman" w:cs="Times New Roman"/>
          <w:sz w:val="26"/>
          <w:szCs w:val="26"/>
        </w:rPr>
        <w:t>А</w:t>
      </w:r>
      <w:r w:rsidRPr="00C243A1">
        <w:rPr>
          <w:rFonts w:ascii="Times New Roman" w:hAnsi="Times New Roman" w:cs="Times New Roman"/>
          <w:sz w:val="26"/>
          <w:szCs w:val="26"/>
        </w:rPr>
        <w:t xml:space="preserve">бонента, указываются по форме согласно </w:t>
      </w:r>
      <w:hyperlink w:anchor="P913" w:history="1">
        <w:r w:rsidRPr="00C243A1">
          <w:rPr>
            <w:rFonts w:ascii="Times New Roman" w:hAnsi="Times New Roman" w:cs="Times New Roman"/>
            <w:sz w:val="26"/>
            <w:szCs w:val="26"/>
          </w:rPr>
          <w:t>приложению N</w:t>
        </w:r>
        <w:r w:rsidR="005735F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3A3D6A" w:rsidRPr="00C243A1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DB35DE" w:rsidRPr="00C243A1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43A1">
        <w:rPr>
          <w:rFonts w:ascii="Times New Roman" w:hAnsi="Times New Roman" w:cs="Times New Roman"/>
          <w:sz w:val="26"/>
          <w:szCs w:val="26"/>
        </w:rPr>
        <w:t xml:space="preserve">25. 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 w:rsidR="00F41B5E" w:rsidRPr="00C243A1">
        <w:rPr>
          <w:rFonts w:ascii="Times New Roman" w:hAnsi="Times New Roman" w:cs="Times New Roman"/>
          <w:sz w:val="26"/>
          <w:szCs w:val="26"/>
        </w:rPr>
        <w:t>А</w:t>
      </w:r>
      <w:r w:rsidRPr="00C243A1">
        <w:rPr>
          <w:rFonts w:ascii="Times New Roman" w:hAnsi="Times New Roman" w:cs="Times New Roman"/>
          <w:sz w:val="26"/>
          <w:szCs w:val="26"/>
        </w:rPr>
        <w:t xml:space="preserve">бонента в целях предотвращения негативного воздействия на работу централизованной системы водоотведения, указываются по форме согласно </w:t>
      </w:r>
      <w:hyperlink w:anchor="P964" w:history="1">
        <w:r w:rsidRPr="00C243A1">
          <w:rPr>
            <w:rFonts w:ascii="Times New Roman" w:hAnsi="Times New Roman" w:cs="Times New Roman"/>
            <w:sz w:val="26"/>
            <w:szCs w:val="26"/>
          </w:rPr>
          <w:t>приложению N</w:t>
        </w:r>
        <w:r w:rsidR="005735F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A3D6A" w:rsidRPr="00C243A1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26. Контроль за соблюдением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установленных для него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 w:rsidR="00BF23C0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или по ее поручению иная организация, а также транзитная организация, осуществляющая транспортировку сточных вод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бонента.</w:t>
      </w:r>
    </w:p>
    <w:p w:rsidR="00DB35DE" w:rsidRPr="004D71B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В ходе осуществления контроля за соблюдением </w:t>
      </w:r>
      <w:r w:rsidR="00F41B5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установленных для него нормативов по объему сточных вод </w:t>
      </w:r>
      <w:r w:rsidR="00BF23C0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или по ее </w:t>
      </w:r>
      <w:r w:rsidRPr="004D71B5">
        <w:rPr>
          <w:rFonts w:ascii="Times New Roman" w:hAnsi="Times New Roman" w:cs="Times New Roman"/>
          <w:sz w:val="26"/>
          <w:szCs w:val="26"/>
        </w:rPr>
        <w:t xml:space="preserve">поручению иная организация ежемесячно определяет объем отведенных (принятых) сточных вод </w:t>
      </w:r>
      <w:r w:rsidR="00F41B5E" w:rsidRPr="004D71B5">
        <w:rPr>
          <w:rFonts w:ascii="Times New Roman" w:hAnsi="Times New Roman" w:cs="Times New Roman"/>
          <w:sz w:val="26"/>
          <w:szCs w:val="26"/>
        </w:rPr>
        <w:t>А</w:t>
      </w:r>
      <w:r w:rsidRPr="004D71B5">
        <w:rPr>
          <w:rFonts w:ascii="Times New Roman" w:hAnsi="Times New Roman" w:cs="Times New Roman"/>
          <w:sz w:val="26"/>
          <w:szCs w:val="26"/>
        </w:rPr>
        <w:t>бонента сверх установленного для него норматива по объему сточных вод.</w:t>
      </w:r>
    </w:p>
    <w:p w:rsidR="00DB35DE" w:rsidRPr="004D71B5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2EDD">
        <w:rPr>
          <w:rFonts w:ascii="Times New Roman" w:hAnsi="Times New Roman" w:cs="Times New Roman"/>
          <w:sz w:val="26"/>
          <w:szCs w:val="26"/>
        </w:rPr>
        <w:t>27.</w:t>
      </w:r>
      <w:r w:rsidRPr="004D71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71B5">
        <w:rPr>
          <w:rFonts w:ascii="Times New Roman" w:hAnsi="Times New Roman" w:cs="Times New Roman"/>
          <w:sz w:val="26"/>
          <w:szCs w:val="26"/>
        </w:rPr>
        <w:t xml:space="preserve">При наличии у </w:t>
      </w:r>
      <w:r w:rsidR="00F41B5E" w:rsidRPr="004D71B5">
        <w:rPr>
          <w:rFonts w:ascii="Times New Roman" w:hAnsi="Times New Roman" w:cs="Times New Roman"/>
          <w:sz w:val="26"/>
          <w:szCs w:val="26"/>
        </w:rPr>
        <w:t>А</w:t>
      </w:r>
      <w:r w:rsidRPr="004D71B5">
        <w:rPr>
          <w:rFonts w:ascii="Times New Roman" w:hAnsi="Times New Roman" w:cs="Times New Roman"/>
          <w:sz w:val="26"/>
          <w:szCs w:val="26"/>
        </w:rPr>
        <w:t xml:space="preserve">бонента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1531D2" w:rsidRPr="004D71B5">
        <w:rPr>
          <w:rFonts w:ascii="Times New Roman" w:hAnsi="Times New Roman" w:cs="Times New Roman"/>
          <w:sz w:val="26"/>
          <w:szCs w:val="26"/>
        </w:rPr>
        <w:t>А</w:t>
      </w:r>
      <w:r w:rsidRPr="004D71B5">
        <w:rPr>
          <w:rFonts w:ascii="Times New Roman" w:hAnsi="Times New Roman" w:cs="Times New Roman"/>
          <w:sz w:val="26"/>
          <w:szCs w:val="26"/>
        </w:rPr>
        <w:t>бонента производится путем сверки общего объема отведенных сточных вод за вычетом объемов поверхностных сточных вод, а также объемов сточных вод, для которых не устанавливаются нормативы по объему сточных вод.</w:t>
      </w:r>
      <w:r w:rsidR="009F27BF" w:rsidRPr="004D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5D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D71B5">
        <w:rPr>
          <w:rFonts w:ascii="Times New Roman" w:hAnsi="Times New Roman" w:cs="Times New Roman"/>
          <w:sz w:val="26"/>
          <w:szCs w:val="26"/>
        </w:rPr>
        <w:t xml:space="preserve">28. При превышении </w:t>
      </w:r>
      <w:r w:rsidR="001531D2" w:rsidRPr="004D71B5">
        <w:rPr>
          <w:rFonts w:ascii="Times New Roman" w:hAnsi="Times New Roman" w:cs="Times New Roman"/>
          <w:sz w:val="26"/>
          <w:szCs w:val="26"/>
        </w:rPr>
        <w:t>А</w:t>
      </w:r>
      <w:r w:rsidRPr="004D71B5">
        <w:rPr>
          <w:rFonts w:ascii="Times New Roman" w:hAnsi="Times New Roman" w:cs="Times New Roman"/>
          <w:sz w:val="26"/>
          <w:szCs w:val="26"/>
        </w:rPr>
        <w:t xml:space="preserve">бонентом установленных нормативов </w:t>
      </w:r>
      <w:r w:rsidRPr="00AB401E">
        <w:rPr>
          <w:rFonts w:ascii="Times New Roman" w:hAnsi="Times New Roman" w:cs="Times New Roman"/>
          <w:sz w:val="26"/>
          <w:szCs w:val="26"/>
        </w:rPr>
        <w:t xml:space="preserve">по объему сточных вод </w:t>
      </w:r>
      <w:r w:rsidR="001531D2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 оплачивает объем сточных вод, отведенных в расчетном периоде в централизованную систему</w:t>
      </w:r>
      <w:r w:rsidR="001531D2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водоотведения с превышением установленного норматива по объему сточных вод,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:rsidR="00281362" w:rsidRPr="00AB401E" w:rsidRDefault="00281362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9955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IX. Условия прекращения или ограничения приема сточных вод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29.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вправе осуществить временное прекращение или ограничение приема сточных вод </w:t>
      </w:r>
      <w:r w:rsidR="009955D1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только в случаях, установленных </w:t>
      </w:r>
      <w:r w:rsidRPr="00AB401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"</w:t>
      </w:r>
      <w:r w:rsidRPr="00AB401E">
        <w:rPr>
          <w:rFonts w:ascii="Times New Roman" w:hAnsi="Times New Roman" w:cs="Times New Roman"/>
          <w:sz w:val="26"/>
          <w:szCs w:val="26"/>
        </w:rPr>
        <w:t xml:space="preserve">О водоснабжении и водоотведении", и при условии соблюдения порядка временного прекращения или ограничения приема сточных вод, </w:t>
      </w:r>
      <w:r w:rsidRPr="00AB40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установленного </w:t>
      </w:r>
      <w:hyperlink r:id="rId8" w:history="1">
        <w:r w:rsidRPr="00AB401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AB40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холодного водоснабжения и водоотведения.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30.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>в течение одних</w:t>
      </w:r>
      <w:r w:rsidR="009955D1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суток со дня временного прекращения или ограничения приема сточных вод</w:t>
      </w:r>
      <w:r w:rsidR="009955D1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уведомляет о таком прекращении или ограничении: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</w:t>
      </w:r>
      <w:r w:rsidR="009955D1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бонента;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б) ___________________________________________________________________;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       (указать орган местного самоуправления поселения, городского округа)</w:t>
      </w:r>
      <w:r w:rsidR="009F27BF" w:rsidRPr="00AB40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 ___________________________________________________________________.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        (указать территориальный орган федерального органа исполнительной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               власти, осуществляющего федеральный государственный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                      санитарно-эпидемиологический надзор)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31. Уведомление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организацией </w:t>
      </w:r>
      <w:r w:rsidRPr="00AB401E">
        <w:rPr>
          <w:rFonts w:ascii="Times New Roman" w:hAnsi="Times New Roman" w:cs="Times New Roman"/>
          <w:sz w:val="26"/>
          <w:szCs w:val="26"/>
        </w:rPr>
        <w:t xml:space="preserve">о временном прекращении или ограничении приема сточных вод, а также уведомление о снятии такого прекращения или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>ограничения и возобновлении приема сточных вод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34615D" w:rsidRPr="00AB401E" w:rsidRDefault="0034615D" w:rsidP="008D761E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401E" w:rsidRPr="00AB401E" w:rsidRDefault="00DB35DE" w:rsidP="00AB4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X. Порядок декларирования состава и свойств сточных вод</w:t>
      </w:r>
      <w:r w:rsidR="00AB401E" w:rsidRPr="00AB401E">
        <w:rPr>
          <w:rFonts w:ascii="Times New Roman" w:hAnsi="Times New Roman" w:cs="Times New Roman"/>
          <w:b/>
          <w:sz w:val="26"/>
          <w:szCs w:val="26"/>
        </w:rPr>
        <w:t xml:space="preserve"> (для Абонентов объем отводимых (принимаемых) сточных вод с объектов</w:t>
      </w:r>
    </w:p>
    <w:p w:rsidR="00DB35DE" w:rsidRPr="00AB401E" w:rsidRDefault="00AB401E" w:rsidP="00AB4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которых составляет более 30 м³ в сутки)</w:t>
      </w:r>
      <w:r w:rsidR="009F27BF" w:rsidRPr="00AB40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32. В целях обеспечения контроля состава и свойств сточных вод </w:t>
      </w:r>
      <w:r w:rsidR="009955D1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подает в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Гарантирующую организацию</w:t>
      </w:r>
      <w:r w:rsidRPr="00AB401E">
        <w:rPr>
          <w:rFonts w:ascii="Times New Roman" w:hAnsi="Times New Roman" w:cs="Times New Roman"/>
          <w:sz w:val="26"/>
          <w:szCs w:val="26"/>
        </w:rPr>
        <w:t xml:space="preserve"> декларацию.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33. Декларация разрабатывается </w:t>
      </w:r>
      <w:r w:rsidR="009955D1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и представляется в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Гарантирующую организацию</w:t>
      </w:r>
      <w:r w:rsidRPr="00AB401E">
        <w:rPr>
          <w:rFonts w:ascii="Times New Roman" w:hAnsi="Times New Roman" w:cs="Times New Roman"/>
          <w:sz w:val="26"/>
          <w:szCs w:val="26"/>
        </w:rPr>
        <w:t xml:space="preserve"> не позднее 6 месяцев со дня заключения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с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оговора. Декларация на очередной год подается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до 1 ноября предшествующего года.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34. К декларации прилагается заверенная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свойств сточных вод в составе декларации определяются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путем оценки результатов анализов состава и свойств проб сточных вод по каждому канализационному выпуску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бонента, выполненных по поручению </w:t>
      </w:r>
      <w:r w:rsidR="00533A5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лабораторией, аккредитованной в порядке, установленном законодательством Российской Федерации.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35. Значения фактических концентраций и фактических свойств сточных вод в составе декларации определяются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организацией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AB401E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AB401E">
        <w:rPr>
          <w:rFonts w:ascii="Times New Roman" w:hAnsi="Times New Roman" w:cs="Times New Roman"/>
          <w:sz w:val="26"/>
          <w:szCs w:val="26"/>
        </w:rPr>
        <w:t xml:space="preserve"> осуществления контроля состава и свойств сточных вод;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б) исключаются значения запрещенного сброса;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 не подлежат указанию нулевые значения фактических концентраций или фактических свойств сточных вод.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36. Перечень загрязняющих веществ, для выявления которых выполняются определения состава и свойств сточных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82"/>
      <w:bookmarkEnd w:id="4"/>
      <w:r w:rsidRPr="00AB401E">
        <w:rPr>
          <w:rFonts w:ascii="Times New Roman" w:hAnsi="Times New Roman" w:cs="Times New Roman"/>
          <w:sz w:val="26"/>
          <w:szCs w:val="26"/>
        </w:rPr>
        <w:t>37. Декларация прекращает действие в следующих случаях: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а) выявление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организацией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 ходе осуществления контроля состава и свойств сточных вод превышения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</w:t>
      </w:r>
      <w:r w:rsidR="00AB401E" w:rsidRPr="00AB401E">
        <w:rPr>
          <w:rFonts w:ascii="Times New Roman" w:hAnsi="Times New Roman" w:cs="Times New Roman"/>
          <w:sz w:val="26"/>
          <w:szCs w:val="26"/>
        </w:rPr>
        <w:t>ам (показателям), не указанным А</w:t>
      </w:r>
      <w:r w:rsidRPr="00AB401E">
        <w:rPr>
          <w:rFonts w:ascii="Times New Roman" w:hAnsi="Times New Roman" w:cs="Times New Roman"/>
          <w:sz w:val="26"/>
          <w:szCs w:val="26"/>
        </w:rPr>
        <w:t>бонентом в декларации;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б) выявление 2 раза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 xml:space="preserve">сточных вод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бонента, заявленные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бонентом в декларации.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38. В течение 3 месяцев со дня оповещения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организацией, осуществляющей водоотведение, о наступлении хотя бы одного из случаев, указанных в </w:t>
      </w:r>
      <w:hyperlink w:anchor="P682" w:history="1">
        <w:r w:rsidRPr="00AB401E">
          <w:rPr>
            <w:rFonts w:ascii="Times New Roman" w:hAnsi="Times New Roman" w:cs="Times New Roman"/>
            <w:sz w:val="26"/>
            <w:szCs w:val="26"/>
          </w:rPr>
          <w:t>пункте 37</w:t>
        </w:r>
      </w:hyperlink>
      <w:r w:rsidRPr="00AB401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оговора,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бонента организацией, осуществляющей водоотведение, о наступлении указанных случаев.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39. В случае если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допущено нарушение декларации, </w:t>
      </w:r>
      <w:r w:rsidR="009F27BF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обязан незамедлительно проинформировать об этом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Гарантирующую организацию</w:t>
      </w:r>
      <w:r w:rsidRPr="00AB401E">
        <w:rPr>
          <w:rFonts w:ascii="Times New Roman" w:hAnsi="Times New Roman" w:cs="Times New Roman"/>
          <w:sz w:val="26"/>
          <w:szCs w:val="26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DB35DE" w:rsidRPr="00AB401E" w:rsidRDefault="00DB35DE" w:rsidP="008D761E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B255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XI. Условия отведения (приема) сточных вод иных лиц,</w:t>
      </w:r>
    </w:p>
    <w:p w:rsidR="00DB35DE" w:rsidRPr="00AB401E" w:rsidRDefault="00DB35DE" w:rsidP="00B25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объекты которых подключены к канализационным сетям,</w:t>
      </w:r>
    </w:p>
    <w:p w:rsidR="00DB35DE" w:rsidRPr="00AB401E" w:rsidRDefault="00DB35DE" w:rsidP="00B25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принадлежащим </w:t>
      </w:r>
      <w:r w:rsidR="00B25576" w:rsidRPr="00AB401E">
        <w:rPr>
          <w:rFonts w:ascii="Times New Roman" w:hAnsi="Times New Roman" w:cs="Times New Roman"/>
          <w:b/>
          <w:sz w:val="26"/>
          <w:szCs w:val="26"/>
        </w:rPr>
        <w:t>А</w:t>
      </w:r>
      <w:r w:rsidRPr="00AB401E">
        <w:rPr>
          <w:rFonts w:ascii="Times New Roman" w:hAnsi="Times New Roman" w:cs="Times New Roman"/>
          <w:b/>
          <w:sz w:val="26"/>
          <w:szCs w:val="26"/>
        </w:rPr>
        <w:t>боненту</w:t>
      </w:r>
      <w:r w:rsidR="00B25576" w:rsidRPr="00AB40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0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Абонент представляет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Pr="00AB401E">
        <w:rPr>
          <w:rFonts w:ascii="Times New Roman" w:hAnsi="Times New Roman" w:cs="Times New Roman"/>
          <w:sz w:val="26"/>
          <w:szCs w:val="26"/>
        </w:rPr>
        <w:t xml:space="preserve">сведения о лицах, объекты которых подключены к канализационным сетям, принадлежащим </w:t>
      </w:r>
      <w:r w:rsidR="00B255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1</w:t>
      </w:r>
      <w:r w:rsidRPr="00AB401E">
        <w:rPr>
          <w:rFonts w:ascii="Times New Roman" w:hAnsi="Times New Roman" w:cs="Times New Roman"/>
          <w:sz w:val="26"/>
          <w:szCs w:val="26"/>
        </w:rPr>
        <w:t xml:space="preserve">. Сведения о лицах, объекты которых подключены к канализационным сетям, принадлежащим </w:t>
      </w:r>
      <w:r w:rsidR="00B255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боненту,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вправе запросить у лиц, объекты которых подключены к канализационным сетям, принадлежащим </w:t>
      </w:r>
      <w:r w:rsidR="00B255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>боненту, иные необходимые сведения и документы.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2</w:t>
      </w:r>
      <w:r w:rsidRPr="00AB401E">
        <w:rPr>
          <w:rFonts w:ascii="Times New Roman" w:hAnsi="Times New Roman" w:cs="Times New Roman"/>
          <w:sz w:val="26"/>
          <w:szCs w:val="26"/>
        </w:rPr>
        <w:t xml:space="preserve">.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осуществляет отведение сточных вод юридических и физических лиц, объекты которых подключены к канализационным сетям </w:t>
      </w:r>
      <w:r w:rsidR="00B25576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бонента, при условии, что такие лица заключили договор водоотведения с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3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Абонент несет в полном объеме ответственность за нарушения условий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оговора, произошедшие по вине юридических и физических лиц, объекты которых подключены к канализационным сетям </w:t>
      </w:r>
      <w:r w:rsidR="008D6181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бонента, но которые не имеют договора водоотведения с </w:t>
      </w:r>
      <w:r w:rsidR="00AB401E" w:rsidRPr="00AB401E">
        <w:rPr>
          <w:rFonts w:ascii="Times New Roman" w:hAnsi="Times New Roman" w:cs="Times New Roman"/>
          <w:sz w:val="26"/>
          <w:szCs w:val="26"/>
        </w:rPr>
        <w:t>Гарантирующей организацией</w:t>
      </w:r>
      <w:r w:rsidRPr="00AB401E">
        <w:rPr>
          <w:rFonts w:ascii="Times New Roman" w:hAnsi="Times New Roman" w:cs="Times New Roman"/>
          <w:sz w:val="26"/>
          <w:szCs w:val="26"/>
        </w:rPr>
        <w:t>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B255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XII. Порядок урегулирования споров и разногласий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4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Все споры и разногласия, возникающие между </w:t>
      </w:r>
      <w:r w:rsidR="0074784E" w:rsidRPr="00AB401E">
        <w:rPr>
          <w:rFonts w:ascii="Times New Roman" w:hAnsi="Times New Roman" w:cs="Times New Roman"/>
          <w:sz w:val="26"/>
          <w:szCs w:val="26"/>
        </w:rPr>
        <w:t>С</w:t>
      </w:r>
      <w:r w:rsidRPr="00AB401E">
        <w:rPr>
          <w:rFonts w:ascii="Times New Roman" w:hAnsi="Times New Roman" w:cs="Times New Roman"/>
          <w:sz w:val="26"/>
          <w:szCs w:val="26"/>
        </w:rPr>
        <w:t xml:space="preserve">торонами, связанные с исполнением настоящего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оговора, подлежат досудебному урегулированию в претензионном порядке.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5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Претензия направляется по адресу стороны, указанному в реквизитах </w:t>
      </w:r>
      <w:r w:rsidR="004D71B5">
        <w:rPr>
          <w:rFonts w:ascii="Times New Roman" w:hAnsi="Times New Roman" w:cs="Times New Roman"/>
          <w:sz w:val="26"/>
          <w:szCs w:val="26"/>
        </w:rPr>
        <w:t>настоящего Д</w:t>
      </w:r>
      <w:r w:rsidRPr="00AB401E">
        <w:rPr>
          <w:rFonts w:ascii="Times New Roman" w:hAnsi="Times New Roman" w:cs="Times New Roman"/>
          <w:sz w:val="26"/>
          <w:szCs w:val="26"/>
        </w:rPr>
        <w:t>оговора, и должна содержать: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а) сведения о заявителе (наименование, местонахождение (адрес);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б) содержание спора, разногласий;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г) другие сведения по усмотрению стороны.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4</w:t>
      </w:r>
      <w:r w:rsidR="004D71B5">
        <w:rPr>
          <w:rFonts w:ascii="Times New Roman" w:hAnsi="Times New Roman" w:cs="Times New Roman"/>
          <w:sz w:val="26"/>
          <w:szCs w:val="26"/>
        </w:rPr>
        <w:t>6</w:t>
      </w:r>
      <w:r w:rsidRPr="00AB401E">
        <w:rPr>
          <w:rFonts w:ascii="Times New Roman" w:hAnsi="Times New Roman" w:cs="Times New Roman"/>
          <w:sz w:val="26"/>
          <w:szCs w:val="26"/>
        </w:rPr>
        <w:t>. Сторона, получившая претензию, в течение 5 рабочих дней со дня поступления претензии обязана ее рассмотреть и дать ответ.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DB35DE" w:rsidRPr="00AB401E">
        <w:rPr>
          <w:rFonts w:ascii="Times New Roman" w:hAnsi="Times New Roman" w:cs="Times New Roman"/>
          <w:sz w:val="26"/>
          <w:szCs w:val="26"/>
        </w:rPr>
        <w:t>. Стороны составляют акт об урегулировании спора или разногласий.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Pr="00AB401E">
        <w:rPr>
          <w:rFonts w:ascii="Times New Roman" w:hAnsi="Times New Roman" w:cs="Times New Roman"/>
          <w:sz w:val="26"/>
          <w:szCs w:val="26"/>
        </w:rPr>
        <w:t>не достижения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="0074784E" w:rsidRPr="00AB401E">
        <w:rPr>
          <w:rFonts w:ascii="Times New Roman" w:hAnsi="Times New Roman" w:cs="Times New Roman"/>
          <w:sz w:val="26"/>
          <w:szCs w:val="26"/>
        </w:rPr>
        <w:t>С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торонами соглашения спор и разногласия, возникшие из настоящего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оговора, подлежат урегулированию в </w:t>
      </w:r>
      <w:r w:rsidR="006D4473">
        <w:rPr>
          <w:rFonts w:ascii="Times New Roman" w:hAnsi="Times New Roman" w:cs="Times New Roman"/>
          <w:sz w:val="26"/>
          <w:szCs w:val="26"/>
        </w:rPr>
        <w:t xml:space="preserve">Арбитражном 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суде </w:t>
      </w:r>
      <w:r w:rsidR="006D4473">
        <w:rPr>
          <w:rFonts w:ascii="Times New Roman" w:hAnsi="Times New Roman" w:cs="Times New Roman"/>
          <w:sz w:val="26"/>
          <w:szCs w:val="26"/>
        </w:rPr>
        <w:t xml:space="preserve">Липецкой области </w:t>
      </w:r>
      <w:r w:rsidR="00DB35DE" w:rsidRPr="00AB401E">
        <w:rPr>
          <w:rFonts w:ascii="Times New Roman" w:hAnsi="Times New Roman" w:cs="Times New Roman"/>
          <w:sz w:val="26"/>
          <w:szCs w:val="26"/>
        </w:rPr>
        <w:t>в установленном законодательством Российской Федерации порядке.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74784E" w:rsidP="007478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XI</w:t>
      </w:r>
      <w:r w:rsidR="004D71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B401E">
        <w:rPr>
          <w:rFonts w:ascii="Times New Roman" w:hAnsi="Times New Roman" w:cs="Times New Roman"/>
          <w:b/>
          <w:sz w:val="26"/>
          <w:szCs w:val="26"/>
        </w:rPr>
        <w:t>. Ответственность С</w:t>
      </w:r>
      <w:r w:rsidR="00DB35DE" w:rsidRPr="00AB401E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. За неисполнение или ненадлежащее исполнение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>оговору стороны несут ответственность в соответствии с законодательством Российской Федерации.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0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В случае нарушения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организацией </w:t>
      </w:r>
      <w:r w:rsidRPr="00AB401E">
        <w:rPr>
          <w:rFonts w:ascii="Times New Roman" w:hAnsi="Times New Roman" w:cs="Times New Roman"/>
          <w:sz w:val="26"/>
          <w:szCs w:val="26"/>
        </w:rPr>
        <w:t xml:space="preserve">режима приема сточных вод </w:t>
      </w:r>
      <w:r w:rsidR="00AB401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 вправе потребовать пропорционального снижения размера оплаты по настоящему </w:t>
      </w:r>
      <w:r w:rsidR="004D71B5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 в соответствующем расчетном периоде.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1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В случае неисполнения либо ненадлежащего исполнения </w:t>
      </w:r>
      <w:r w:rsidR="003A3D6A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бонентом обязательств по оплате настоящего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Гарантирующая организация </w:t>
      </w:r>
      <w:r w:rsidRPr="00AB401E">
        <w:rPr>
          <w:rFonts w:ascii="Times New Roman" w:hAnsi="Times New Roman" w:cs="Times New Roman"/>
          <w:sz w:val="26"/>
          <w:szCs w:val="26"/>
        </w:rPr>
        <w:t xml:space="preserve">вправе потребовать от </w:t>
      </w:r>
      <w:r w:rsidR="00AB401E" w:rsidRPr="00AB401E">
        <w:rPr>
          <w:rFonts w:ascii="Times New Roman" w:hAnsi="Times New Roman" w:cs="Times New Roman"/>
          <w:sz w:val="26"/>
          <w:szCs w:val="26"/>
        </w:rPr>
        <w:t>А</w:t>
      </w:r>
      <w:r w:rsidRPr="00AB401E">
        <w:rPr>
          <w:rFonts w:ascii="Times New Roman" w:hAnsi="Times New Roman" w:cs="Times New Roman"/>
          <w:sz w:val="26"/>
          <w:szCs w:val="26"/>
        </w:rPr>
        <w:t xml:space="preserve">бонента уплаты пени в размере одной стотридцатой </w:t>
      </w:r>
      <w:r w:rsidR="006D4473">
        <w:rPr>
          <w:rFonts w:ascii="Times New Roman" w:hAnsi="Times New Roman" w:cs="Times New Roman"/>
          <w:sz w:val="26"/>
          <w:szCs w:val="26"/>
        </w:rPr>
        <w:t xml:space="preserve">ключевой ставки </w:t>
      </w:r>
      <w:r w:rsidRPr="00AB401E">
        <w:rPr>
          <w:rFonts w:ascii="Times New Roman" w:hAnsi="Times New Roman" w:cs="Times New Roman"/>
          <w:sz w:val="26"/>
          <w:szCs w:val="26"/>
        </w:rPr>
        <w:t>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74784E" w:rsidRPr="00AB401E" w:rsidRDefault="0074784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7478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</w:t>
      </w:r>
      <w:r w:rsidR="003A3D6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B401E">
        <w:rPr>
          <w:rFonts w:ascii="Times New Roman" w:hAnsi="Times New Roman" w:cs="Times New Roman"/>
          <w:b/>
          <w:sz w:val="26"/>
          <w:szCs w:val="26"/>
        </w:rPr>
        <w:t>V. Обстоятельства непреодолимой силы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2</w:t>
      </w:r>
      <w:r w:rsidRPr="00AB401E">
        <w:rPr>
          <w:rFonts w:ascii="Times New Roman" w:hAnsi="Times New Roman" w:cs="Times New Roman"/>
          <w:sz w:val="26"/>
          <w:szCs w:val="26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оговору, если оно явилось следствием обстоятельств непреодолимой силы и если эти обстоятельства повлияли на исполнение настоящего </w:t>
      </w:r>
      <w:r w:rsidR="005735F8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При этом срок исполнения обязательств по настоящему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3</w:t>
      </w:r>
      <w:r w:rsidRPr="00AB401E">
        <w:rPr>
          <w:rFonts w:ascii="Times New Roman" w:hAnsi="Times New Roman" w:cs="Times New Roman"/>
          <w:sz w:val="26"/>
          <w:szCs w:val="26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4289A" w:rsidRPr="00AB401E" w:rsidRDefault="0074289A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7478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 xml:space="preserve">XV. Срок действия </w:t>
      </w:r>
      <w:r w:rsidR="003A3D6A">
        <w:rPr>
          <w:rFonts w:ascii="Times New Roman" w:hAnsi="Times New Roman" w:cs="Times New Roman"/>
          <w:b/>
          <w:sz w:val="26"/>
          <w:szCs w:val="26"/>
        </w:rPr>
        <w:t>Д</w:t>
      </w:r>
      <w:r w:rsidRPr="00AB401E">
        <w:rPr>
          <w:rFonts w:ascii="Times New Roman" w:hAnsi="Times New Roman" w:cs="Times New Roman"/>
          <w:b/>
          <w:sz w:val="26"/>
          <w:szCs w:val="26"/>
        </w:rPr>
        <w:t>оговора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4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5735F8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</w:t>
      </w:r>
      <w:r w:rsidR="0074784E" w:rsidRPr="00AB401E">
        <w:rPr>
          <w:rFonts w:ascii="Times New Roman" w:hAnsi="Times New Roman" w:cs="Times New Roman"/>
          <w:sz w:val="26"/>
          <w:szCs w:val="26"/>
        </w:rPr>
        <w:t xml:space="preserve">р вступает в силу с </w:t>
      </w:r>
      <w:r w:rsidRPr="00AB401E">
        <w:rPr>
          <w:rFonts w:ascii="Times New Roman" w:hAnsi="Times New Roman" w:cs="Times New Roman"/>
          <w:sz w:val="26"/>
          <w:szCs w:val="26"/>
        </w:rPr>
        <w:t>__________________.</w:t>
      </w:r>
    </w:p>
    <w:p w:rsidR="00DB35DE" w:rsidRPr="00AB401E" w:rsidRDefault="00DB35DE" w:rsidP="008D761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5</w:t>
      </w:r>
      <w:r w:rsidR="005735F8">
        <w:rPr>
          <w:rFonts w:ascii="Times New Roman" w:hAnsi="Times New Roman" w:cs="Times New Roman"/>
          <w:sz w:val="26"/>
          <w:szCs w:val="26"/>
        </w:rPr>
        <w:t>. Настоящий Д</w:t>
      </w:r>
      <w:r w:rsidRPr="00AB401E">
        <w:rPr>
          <w:rFonts w:ascii="Times New Roman" w:hAnsi="Times New Roman" w:cs="Times New Roman"/>
          <w:sz w:val="26"/>
          <w:szCs w:val="26"/>
        </w:rPr>
        <w:t>оговор з</w:t>
      </w:r>
      <w:r w:rsidR="0074784E" w:rsidRPr="00AB401E">
        <w:rPr>
          <w:rFonts w:ascii="Times New Roman" w:hAnsi="Times New Roman" w:cs="Times New Roman"/>
          <w:sz w:val="26"/>
          <w:szCs w:val="26"/>
        </w:rPr>
        <w:t>аключен на срок ________________</w:t>
      </w:r>
      <w:r w:rsidRPr="00AB401E">
        <w:rPr>
          <w:rFonts w:ascii="Times New Roman" w:hAnsi="Times New Roman" w:cs="Times New Roman"/>
          <w:sz w:val="26"/>
          <w:szCs w:val="26"/>
        </w:rPr>
        <w:t>__.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5</w:t>
      </w:r>
      <w:r w:rsidR="004D71B5">
        <w:rPr>
          <w:rFonts w:ascii="Times New Roman" w:hAnsi="Times New Roman" w:cs="Times New Roman"/>
          <w:sz w:val="26"/>
          <w:szCs w:val="26"/>
        </w:rPr>
        <w:t>6</w:t>
      </w:r>
      <w:r w:rsidR="005735F8">
        <w:rPr>
          <w:rFonts w:ascii="Times New Roman" w:hAnsi="Times New Roman" w:cs="Times New Roman"/>
          <w:sz w:val="26"/>
          <w:szCs w:val="26"/>
        </w:rPr>
        <w:t>. Настоящий Д</w:t>
      </w:r>
      <w:r w:rsidRPr="00AB401E">
        <w:rPr>
          <w:rFonts w:ascii="Times New Roman" w:hAnsi="Times New Roman" w:cs="Times New Roman"/>
          <w:sz w:val="26"/>
          <w:szCs w:val="26"/>
        </w:rPr>
        <w:t xml:space="preserve">оговор считается </w:t>
      </w:r>
      <w:r w:rsidR="006D4473">
        <w:rPr>
          <w:rFonts w:ascii="Times New Roman" w:hAnsi="Times New Roman" w:cs="Times New Roman"/>
          <w:sz w:val="26"/>
          <w:szCs w:val="26"/>
        </w:rPr>
        <w:t xml:space="preserve">каждый раз </w:t>
      </w:r>
      <w:r w:rsidRPr="00AB401E">
        <w:rPr>
          <w:rFonts w:ascii="Times New Roman" w:hAnsi="Times New Roman" w:cs="Times New Roman"/>
          <w:sz w:val="26"/>
          <w:szCs w:val="26"/>
        </w:rPr>
        <w:t>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5735F8"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>оговор может быть расторгнут до окончания срока его действия по обоюдному согласию сторон.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. В случае предусмотренного законодательством Российской Федерации отказа </w:t>
      </w:r>
      <w:r w:rsidR="00AB401E" w:rsidRPr="00AB401E">
        <w:rPr>
          <w:rFonts w:ascii="Times New Roman" w:hAnsi="Times New Roman" w:cs="Times New Roman"/>
          <w:sz w:val="26"/>
          <w:szCs w:val="26"/>
        </w:rPr>
        <w:t xml:space="preserve">Гарантирующей организации 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от исполнения настоящего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>оговора или его изменения в одностороннем порядке</w:t>
      </w:r>
      <w:r w:rsidR="00606394">
        <w:rPr>
          <w:rFonts w:ascii="Times New Roman" w:hAnsi="Times New Roman" w:cs="Times New Roman"/>
          <w:sz w:val="26"/>
          <w:szCs w:val="26"/>
        </w:rPr>
        <w:t>, настоящий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 </w:t>
      </w:r>
      <w:r w:rsidR="00606394"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>оговор считается расторгнутым или измененным.</w:t>
      </w:r>
    </w:p>
    <w:p w:rsidR="0034615D" w:rsidRPr="00AB401E" w:rsidRDefault="0034615D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35DE" w:rsidRPr="00AB401E" w:rsidRDefault="00DB35DE" w:rsidP="007478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401E">
        <w:rPr>
          <w:rFonts w:ascii="Times New Roman" w:hAnsi="Times New Roman" w:cs="Times New Roman"/>
          <w:b/>
          <w:sz w:val="26"/>
          <w:szCs w:val="26"/>
        </w:rPr>
        <w:t>XVI. Прочие условия</w:t>
      </w:r>
    </w:p>
    <w:p w:rsidR="00DB35DE" w:rsidRPr="00AB401E" w:rsidRDefault="004D71B5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DB35DE" w:rsidRPr="00AB401E">
        <w:rPr>
          <w:rFonts w:ascii="Times New Roman" w:hAnsi="Times New Roman" w:cs="Times New Roman"/>
          <w:sz w:val="26"/>
          <w:szCs w:val="26"/>
        </w:rPr>
        <w:t xml:space="preserve">. Изменения, которые вносятся в настоящий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="00DB35DE" w:rsidRPr="00AB401E">
        <w:rPr>
          <w:rFonts w:ascii="Times New Roman" w:hAnsi="Times New Roman" w:cs="Times New Roman"/>
          <w:sz w:val="26"/>
          <w:szCs w:val="26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6</w:t>
      </w:r>
      <w:r w:rsidR="004D71B5">
        <w:rPr>
          <w:rFonts w:ascii="Times New Roman" w:hAnsi="Times New Roman" w:cs="Times New Roman"/>
          <w:sz w:val="26"/>
          <w:szCs w:val="26"/>
        </w:rPr>
        <w:t>0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информационно-телекоммуникационная сеть "Интернет"), позволяющим подтвердить получение такого уведомления адресатом.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6</w:t>
      </w:r>
      <w:r w:rsidR="004D71B5">
        <w:rPr>
          <w:rFonts w:ascii="Times New Roman" w:hAnsi="Times New Roman" w:cs="Times New Roman"/>
          <w:sz w:val="26"/>
          <w:szCs w:val="26"/>
        </w:rPr>
        <w:t>1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При исполнении настоящего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 стороны обязуются руководствоваться законодательством Российской Федерации.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6</w:t>
      </w:r>
      <w:r w:rsidR="004D71B5">
        <w:rPr>
          <w:rFonts w:ascii="Times New Roman" w:hAnsi="Times New Roman" w:cs="Times New Roman"/>
          <w:sz w:val="26"/>
          <w:szCs w:val="26"/>
        </w:rPr>
        <w:t>2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5735F8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 составлен в двух экземплярах, имеющих одинаковую юридическую силу.</w:t>
      </w:r>
    </w:p>
    <w:p w:rsidR="00DB35DE" w:rsidRPr="00AB40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>6</w:t>
      </w:r>
      <w:r w:rsidR="004D71B5">
        <w:rPr>
          <w:rFonts w:ascii="Times New Roman" w:hAnsi="Times New Roman" w:cs="Times New Roman"/>
          <w:sz w:val="26"/>
          <w:szCs w:val="26"/>
        </w:rPr>
        <w:t>3</w:t>
      </w:r>
      <w:r w:rsidRPr="00AB401E">
        <w:rPr>
          <w:rFonts w:ascii="Times New Roman" w:hAnsi="Times New Roman" w:cs="Times New Roman"/>
          <w:sz w:val="26"/>
          <w:szCs w:val="26"/>
        </w:rPr>
        <w:t xml:space="preserve">. Приложения к настоящему </w:t>
      </w:r>
      <w:r w:rsidR="003A3D6A"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оговору являются его неотъемлемой частью.</w:t>
      </w:r>
    </w:p>
    <w:p w:rsidR="00DB35DE" w:rsidRPr="008D761E" w:rsidRDefault="00DB35DE" w:rsidP="008D761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3"/>
        <w:gridCol w:w="5009"/>
        <w:gridCol w:w="135"/>
        <w:gridCol w:w="4607"/>
        <w:gridCol w:w="205"/>
      </w:tblGrid>
      <w:tr w:rsidR="0074784E" w:rsidRPr="00606394" w:rsidTr="0074289A">
        <w:trPr>
          <w:gridAfter w:val="1"/>
          <w:wAfter w:w="102" w:type="pct"/>
          <w:trHeight w:val="393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FD2838" w:rsidP="0074784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Гарантирующая организация</w:t>
            </w:r>
            <w:r w:rsidR="0074784E" w:rsidRPr="00606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4784E" w:rsidRPr="00606394" w:rsidRDefault="0074784E" w:rsidP="0074784E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«ОЭЗ ППТ «Липецк»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Абонент </w:t>
            </w:r>
          </w:p>
          <w:p w:rsidR="0074784E" w:rsidRPr="00606394" w:rsidRDefault="0074784E" w:rsidP="0074784E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74784E" w:rsidRPr="00606394" w:rsidTr="0074289A">
        <w:trPr>
          <w:gridAfter w:val="1"/>
          <w:wAfter w:w="102" w:type="pct"/>
          <w:trHeight w:val="136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74784E" w:rsidRPr="00606394" w:rsidTr="0074289A">
        <w:trPr>
          <w:gridAfter w:val="1"/>
          <w:wAfter w:w="102" w:type="pct"/>
          <w:trHeight w:val="136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74784E" w:rsidRPr="00606394" w:rsidTr="0074289A">
        <w:trPr>
          <w:gridAfter w:val="1"/>
          <w:wAfter w:w="102" w:type="pct"/>
          <w:trHeight w:val="20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  <w:p w:rsidR="0074784E" w:rsidRPr="00606394" w:rsidRDefault="0074784E" w:rsidP="0074784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  <w:p w:rsidR="0074784E" w:rsidRPr="00606394" w:rsidRDefault="0074784E" w:rsidP="0074784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4E" w:rsidRPr="00606394" w:rsidTr="0074289A">
        <w:trPr>
          <w:gridAfter w:val="1"/>
          <w:wAfter w:w="102" w:type="pct"/>
          <w:trHeight w:val="20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:rsidR="0074784E" w:rsidRPr="00606394" w:rsidRDefault="0074784E" w:rsidP="0074784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:rsidR="0074784E" w:rsidRPr="00606394" w:rsidRDefault="0074784E" w:rsidP="0074784E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84E" w:rsidRPr="00606394" w:rsidTr="0074289A">
        <w:trPr>
          <w:gridAfter w:val="1"/>
          <w:wAfter w:w="102" w:type="pct"/>
          <w:trHeight w:val="20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74784E" w:rsidRPr="00606394" w:rsidTr="0074289A">
        <w:trPr>
          <w:gridAfter w:val="1"/>
          <w:wAfter w:w="102" w:type="pct"/>
          <w:trHeight w:val="20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74784E" w:rsidRPr="00606394" w:rsidTr="0074289A">
        <w:trPr>
          <w:gridAfter w:val="1"/>
          <w:wAfter w:w="102" w:type="pct"/>
          <w:trHeight w:val="20"/>
        </w:trPr>
        <w:tc>
          <w:tcPr>
            <w:tcW w:w="2541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</w:tc>
        <w:tc>
          <w:tcPr>
            <w:tcW w:w="2357" w:type="pct"/>
            <w:gridSpan w:val="2"/>
            <w:shd w:val="clear" w:color="auto" w:fill="FFFFFF"/>
            <w:vAlign w:val="center"/>
          </w:tcPr>
          <w:p w:rsidR="0074784E" w:rsidRPr="00606394" w:rsidRDefault="0074784E" w:rsidP="0074784E">
            <w:pPr>
              <w:pStyle w:val="ConsPlusNormal"/>
              <w:widowControl/>
              <w:rPr>
                <w:rFonts w:ascii="MS Mincho" w:eastAsia="MS Mincho" w:hAnsi="MS Mincho" w:cs="MS Mincho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</w:tc>
      </w:tr>
      <w:tr w:rsidR="0074784E" w:rsidRPr="00606394" w:rsidTr="00606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1" w:type="pct"/>
          <w:trHeight w:val="272"/>
        </w:trPr>
        <w:tc>
          <w:tcPr>
            <w:tcW w:w="2557" w:type="pct"/>
            <w:gridSpan w:val="2"/>
          </w:tcPr>
          <w:p w:rsidR="00FB5945" w:rsidRDefault="00FB5945" w:rsidP="00747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84E" w:rsidRPr="00606394" w:rsidRDefault="00FD2838" w:rsidP="00747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Гарантирующая организация</w:t>
            </w:r>
            <w:r w:rsidR="0074784E" w:rsidRPr="006063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2" w:type="pct"/>
            <w:gridSpan w:val="2"/>
          </w:tcPr>
          <w:p w:rsidR="00FB5945" w:rsidRDefault="00FB5945" w:rsidP="00747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b/>
                <w:sz w:val="24"/>
                <w:szCs w:val="24"/>
              </w:rPr>
              <w:t>Абонент:</w:t>
            </w:r>
          </w:p>
        </w:tc>
      </w:tr>
      <w:tr w:rsidR="0074784E" w:rsidRPr="00606394" w:rsidTr="00606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1" w:type="pct"/>
          <w:trHeight w:val="549"/>
        </w:trPr>
        <w:tc>
          <w:tcPr>
            <w:tcW w:w="2557" w:type="pct"/>
            <w:gridSpan w:val="2"/>
          </w:tcPr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АО «ОЭЗ ППТ «Липецк»</w:t>
            </w:r>
          </w:p>
          <w:p w:rsidR="0074784E" w:rsidRPr="00606394" w:rsidRDefault="0074784E" w:rsidP="00747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_________________ /_____________/</w:t>
            </w: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392" w:type="pct"/>
            <w:gridSpan w:val="2"/>
          </w:tcPr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_________________ /</w:t>
            </w: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</w:p>
          <w:p w:rsidR="0074784E" w:rsidRPr="00606394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9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06394" w:rsidRDefault="00606394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5945" w:rsidRDefault="00FB594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84E" w:rsidRPr="00673691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784E" w:rsidRPr="00673691" w:rsidRDefault="0074784E" w:rsidP="00207E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207E28"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778"/>
      <w:bookmarkEnd w:id="5"/>
    </w:p>
    <w:p w:rsidR="0074784E" w:rsidRPr="00102FFB" w:rsidRDefault="0074784E" w:rsidP="00747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4784E" w:rsidRPr="00102FFB" w:rsidRDefault="0074784E" w:rsidP="00747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разграничения балансовой принадлежности</w:t>
      </w:r>
    </w:p>
    <w:p w:rsidR="0074784E" w:rsidRPr="00102FFB" w:rsidRDefault="0074784E" w:rsidP="00747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и эксплуатационной ответственности</w:t>
      </w:r>
    </w:p>
    <w:p w:rsidR="0074784E" w:rsidRPr="00DD5C2F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4E" w:rsidRPr="00DD5C2F" w:rsidRDefault="0074784E" w:rsidP="007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АО «ОЭЗ ППТ «Липецк»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C2F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FD2838">
        <w:rPr>
          <w:rFonts w:ascii="Times New Roman" w:hAnsi="Times New Roman" w:cs="Times New Roman"/>
          <w:sz w:val="28"/>
          <w:szCs w:val="28"/>
        </w:rPr>
        <w:t>Гарантирующая организация</w:t>
      </w:r>
      <w:r w:rsidRPr="00DD5C2F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D5C2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Pr="00DD5C2F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  <w:r w:rsidRPr="00DD5C2F">
        <w:rPr>
          <w:rFonts w:ascii="Times New Roman" w:hAnsi="Times New Roman" w:cs="Times New Roman"/>
          <w:sz w:val="28"/>
          <w:szCs w:val="28"/>
        </w:rPr>
        <w:t>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D5C2F">
        <w:rPr>
          <w:rFonts w:ascii="Times New Roman" w:hAnsi="Times New Roman" w:cs="Times New Roman"/>
          <w:sz w:val="28"/>
          <w:szCs w:val="28"/>
        </w:rPr>
        <w:t>__,</w:t>
      </w:r>
    </w:p>
    <w:p w:rsidR="0074784E" w:rsidRPr="00DD5C2F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C2F">
        <w:rPr>
          <w:rFonts w:ascii="Times New Roman" w:hAnsi="Times New Roman" w:cs="Times New Roman"/>
          <w:sz w:val="28"/>
          <w:szCs w:val="28"/>
        </w:rPr>
        <w:t>бонентом, в лице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DD5C2F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5C2F">
        <w:rPr>
          <w:rFonts w:ascii="Times New Roman" w:hAnsi="Times New Roman" w:cs="Times New Roman"/>
          <w:sz w:val="28"/>
          <w:szCs w:val="28"/>
        </w:rPr>
        <w:t>торонами, составили настоящий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о том, что:</w:t>
      </w:r>
    </w:p>
    <w:p w:rsidR="0074784E" w:rsidRPr="00DD5C2F" w:rsidRDefault="0074784E" w:rsidP="007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границей балансовой принадлежности объектов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="00FD2838" w:rsidRPr="00FD2838">
        <w:rPr>
          <w:rFonts w:ascii="Times New Roman" w:hAnsi="Times New Roman" w:cs="Times New Roman"/>
          <w:sz w:val="28"/>
          <w:szCs w:val="28"/>
        </w:rPr>
        <w:t>Гарантирующ</w:t>
      </w:r>
      <w:r w:rsidR="00FD2838">
        <w:rPr>
          <w:rFonts w:ascii="Times New Roman" w:hAnsi="Times New Roman" w:cs="Times New Roman"/>
          <w:sz w:val="28"/>
          <w:szCs w:val="28"/>
        </w:rPr>
        <w:t>ей</w:t>
      </w:r>
      <w:r w:rsidR="00FD2838" w:rsidRPr="00FD28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2838">
        <w:rPr>
          <w:rFonts w:ascii="Times New Roman" w:hAnsi="Times New Roman" w:cs="Times New Roman"/>
          <w:sz w:val="28"/>
          <w:szCs w:val="28"/>
        </w:rPr>
        <w:t>и</w:t>
      </w:r>
      <w:r w:rsidRPr="00DD5C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D5C2F">
        <w:rPr>
          <w:rFonts w:ascii="Times New Roman" w:hAnsi="Times New Roman" w:cs="Times New Roman"/>
          <w:sz w:val="28"/>
          <w:szCs w:val="28"/>
        </w:rPr>
        <w:t>бонента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является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D5C2F">
        <w:rPr>
          <w:rFonts w:ascii="Times New Roman" w:hAnsi="Times New Roman" w:cs="Times New Roman"/>
          <w:sz w:val="28"/>
          <w:szCs w:val="28"/>
        </w:rPr>
        <w:t>_;</w:t>
      </w:r>
    </w:p>
    <w:p w:rsidR="0074784E" w:rsidRPr="00DD5C2F" w:rsidRDefault="0074784E" w:rsidP="007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границей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эксплуатационной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объектов 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систем водоотведения </w:t>
      </w:r>
      <w:r w:rsidR="00FD2838" w:rsidRPr="00FD2838">
        <w:rPr>
          <w:rFonts w:ascii="Times New Roman" w:hAnsi="Times New Roman" w:cs="Times New Roman"/>
          <w:sz w:val="28"/>
          <w:szCs w:val="28"/>
        </w:rPr>
        <w:t>Гарантирующ</w:t>
      </w:r>
      <w:r w:rsidR="00FD2838">
        <w:rPr>
          <w:rFonts w:ascii="Times New Roman" w:hAnsi="Times New Roman" w:cs="Times New Roman"/>
          <w:sz w:val="28"/>
          <w:szCs w:val="28"/>
        </w:rPr>
        <w:t>ей</w:t>
      </w:r>
      <w:r w:rsidR="00FD2838" w:rsidRPr="00FD28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28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 А</w:t>
      </w:r>
      <w:r w:rsidRPr="00DD5C2F">
        <w:rPr>
          <w:rFonts w:ascii="Times New Roman" w:hAnsi="Times New Roman" w:cs="Times New Roman"/>
          <w:sz w:val="28"/>
          <w:szCs w:val="28"/>
        </w:rPr>
        <w:t>бонента яв</w:t>
      </w:r>
      <w:r>
        <w:rPr>
          <w:rFonts w:ascii="Times New Roman" w:hAnsi="Times New Roman" w:cs="Times New Roman"/>
          <w:sz w:val="28"/>
          <w:szCs w:val="28"/>
        </w:rPr>
        <w:t>ляется ________</w:t>
      </w:r>
      <w:r w:rsidRPr="00DD5C2F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34615D" w:rsidRDefault="0034615D" w:rsidP="00346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Граница балансовой принадлежности и эксплуатационной ответственности </w:t>
      </w:r>
      <w:r w:rsidRPr="00DD5C2F">
        <w:rPr>
          <w:rFonts w:ascii="Times New Roman" w:hAnsi="Times New Roman" w:cs="Times New Roman"/>
          <w:sz w:val="28"/>
          <w:szCs w:val="28"/>
        </w:rPr>
        <w:t>объектов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Pr="00FD2838">
        <w:rPr>
          <w:rFonts w:ascii="Times New Roman" w:hAnsi="Times New Roman" w:cs="Times New Roman"/>
          <w:sz w:val="28"/>
          <w:szCs w:val="28"/>
        </w:rPr>
        <w:t>Гарантирующ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D28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C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D5C2F">
        <w:rPr>
          <w:rFonts w:ascii="Times New Roman" w:hAnsi="Times New Roman" w:cs="Times New Roman"/>
          <w:sz w:val="28"/>
          <w:szCs w:val="28"/>
        </w:rPr>
        <w:t>бонента</w:t>
      </w:r>
      <w:r w:rsidRPr="00F714C0">
        <w:rPr>
          <w:rFonts w:ascii="Times New Roman" w:hAnsi="Times New Roman" w:cs="Times New Roman"/>
          <w:sz w:val="28"/>
          <w:szCs w:val="28"/>
        </w:rPr>
        <w:t xml:space="preserve"> обозначена на схеме, прилагаемой к настоящему акту.</w:t>
      </w:r>
    </w:p>
    <w:p w:rsidR="0034615D" w:rsidRPr="00DD5C2F" w:rsidRDefault="0034615D" w:rsidP="00346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15D" w:rsidRDefault="0034615D" w:rsidP="00346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02"/>
        <w:gridCol w:w="4863"/>
      </w:tblGrid>
      <w:tr w:rsidR="0034615D" w:rsidRPr="00656863" w:rsidTr="0034615D">
        <w:trPr>
          <w:trHeight w:val="272"/>
        </w:trPr>
        <w:tc>
          <w:tcPr>
            <w:tcW w:w="2584" w:type="pct"/>
          </w:tcPr>
          <w:p w:rsidR="0034615D" w:rsidRPr="00656863" w:rsidRDefault="0034615D" w:rsidP="00346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2838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34615D" w:rsidRPr="00656863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4615D" w:rsidRPr="005360CE" w:rsidTr="0034615D">
        <w:trPr>
          <w:trHeight w:val="549"/>
        </w:trPr>
        <w:tc>
          <w:tcPr>
            <w:tcW w:w="2584" w:type="pct"/>
          </w:tcPr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34615D" w:rsidRDefault="0034615D" w:rsidP="0034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34615D" w:rsidRPr="005360CE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15D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34615D" w:rsidRPr="005360CE" w:rsidRDefault="0034615D" w:rsidP="0034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4615D" w:rsidRDefault="0034615D" w:rsidP="00346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615D" w:rsidSect="00606394">
          <w:pgSz w:w="11906" w:h="16838"/>
          <w:pgMar w:top="709" w:right="707" w:bottom="709" w:left="1134" w:header="709" w:footer="414" w:gutter="0"/>
          <w:cols w:space="708"/>
          <w:docGrid w:linePitch="360"/>
        </w:sectPr>
      </w:pPr>
    </w:p>
    <w:p w:rsidR="00606394" w:rsidRDefault="0034615D" w:rsidP="00346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F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4615D" w:rsidRPr="00737F73" w:rsidRDefault="0034615D" w:rsidP="00346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F73">
        <w:rPr>
          <w:rFonts w:ascii="Times New Roman" w:hAnsi="Times New Roman" w:cs="Times New Roman"/>
          <w:sz w:val="24"/>
          <w:szCs w:val="24"/>
        </w:rPr>
        <w:t xml:space="preserve">к Приложению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615D" w:rsidRPr="00673691" w:rsidRDefault="0034615D" w:rsidP="00346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34615D" w:rsidRDefault="0034615D" w:rsidP="003461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15D" w:rsidRDefault="0034615D" w:rsidP="003461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FB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4615D" w:rsidRPr="00F31FED" w:rsidRDefault="0034615D" w:rsidP="003461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FED">
        <w:rPr>
          <w:rFonts w:ascii="Times New Roman" w:hAnsi="Times New Roman" w:cs="Times New Roman"/>
          <w:b/>
          <w:sz w:val="28"/>
          <w:szCs w:val="28"/>
        </w:rPr>
        <w:t xml:space="preserve">разграничения балансовой принадлежности и эксплуатационной ответственности, </w:t>
      </w:r>
      <w:r w:rsidRPr="00F31FED">
        <w:rPr>
          <w:rFonts w:ascii="Times New Roman" w:hAnsi="Times New Roman"/>
          <w:b/>
          <w:sz w:val="28"/>
          <w:szCs w:val="28"/>
        </w:rPr>
        <w:t>расположения узлов учета и мест отбора проб сточных вод</w:t>
      </w: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Default="0034615D" w:rsidP="0034615D">
      <w:pPr>
        <w:autoSpaceDE w:val="0"/>
        <w:autoSpaceDN w:val="0"/>
        <w:adjustRightInd w:val="0"/>
        <w:spacing w:after="0" w:line="240" w:lineRule="auto"/>
        <w:jc w:val="both"/>
      </w:pPr>
    </w:p>
    <w:p w:rsidR="0034615D" w:rsidRPr="002C1B01" w:rsidRDefault="0034615D" w:rsidP="0034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15D" w:rsidRPr="002C1B01" w:rsidRDefault="0034615D" w:rsidP="0034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28"/>
        <w:gridCol w:w="4795"/>
      </w:tblGrid>
      <w:tr w:rsidR="0074784E" w:rsidRPr="00656863" w:rsidTr="0074784E">
        <w:trPr>
          <w:trHeight w:val="272"/>
        </w:trPr>
        <w:tc>
          <w:tcPr>
            <w:tcW w:w="2584" w:type="pct"/>
          </w:tcPr>
          <w:p w:rsidR="0074784E" w:rsidRPr="00656863" w:rsidRDefault="00FD2838" w:rsidP="007478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2838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74784E" w:rsidRPr="00656863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784E" w:rsidRPr="005360CE" w:rsidTr="0074784E">
        <w:trPr>
          <w:trHeight w:val="549"/>
        </w:trPr>
        <w:tc>
          <w:tcPr>
            <w:tcW w:w="2584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74784E" w:rsidRDefault="0074784E" w:rsidP="00747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4784E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784E" w:rsidSect="0074784E">
          <w:pgSz w:w="11906" w:h="16838"/>
          <w:pgMar w:top="851" w:right="707" w:bottom="851" w:left="1276" w:header="709" w:footer="414" w:gutter="0"/>
          <w:cols w:space="708"/>
          <w:docGrid w:linePitch="360"/>
        </w:sectPr>
      </w:pPr>
    </w:p>
    <w:p w:rsidR="0074784E" w:rsidRPr="00673691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3D6A" w:rsidRPr="00673691" w:rsidRDefault="003A3D6A" w:rsidP="003A3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201622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864"/>
      <w:bookmarkEnd w:id="6"/>
      <w:r w:rsidRPr="0020162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4784E" w:rsidRPr="007D7720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22">
        <w:rPr>
          <w:rFonts w:ascii="Times New Roman" w:hAnsi="Times New Roman" w:cs="Times New Roman"/>
          <w:b/>
          <w:sz w:val="28"/>
          <w:szCs w:val="28"/>
        </w:rPr>
        <w:t>о режиме приема сточных вод</w:t>
      </w:r>
    </w:p>
    <w:p w:rsidR="0074784E" w:rsidRPr="007D7720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3118"/>
        <w:gridCol w:w="3402"/>
      </w:tblGrid>
      <w:tr w:rsidR="0074784E" w:rsidRPr="00673691" w:rsidTr="0074784E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расход сточных вод (часовой), куб.м/ч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расход сточных вод (секундный), л/с</w:t>
            </w:r>
          </w:p>
        </w:tc>
      </w:tr>
      <w:tr w:rsidR="0074784E" w:rsidRPr="00673691" w:rsidTr="0074784E">
        <w:trPr>
          <w:trHeight w:val="32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84E" w:rsidRPr="00673691" w:rsidTr="0074784E">
        <w:trPr>
          <w:trHeight w:val="71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D2717A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D2717A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4784E" w:rsidRPr="007D7720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72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жим установлен с ____________</w:t>
      </w:r>
      <w:r w:rsidRPr="00B7168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7168A">
        <w:rPr>
          <w:rFonts w:ascii="Times New Roman" w:hAnsi="Times New Roman" w:cs="Times New Roman"/>
          <w:sz w:val="28"/>
          <w:szCs w:val="28"/>
        </w:rPr>
        <w:t>.</w:t>
      </w:r>
    </w:p>
    <w:p w:rsidR="0074784E" w:rsidRPr="00C06C50" w:rsidRDefault="0074784E" w:rsidP="007478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6C50">
        <w:rPr>
          <w:rFonts w:ascii="Times New Roman" w:hAnsi="Times New Roman"/>
          <w:sz w:val="28"/>
          <w:szCs w:val="28"/>
        </w:rPr>
        <w:t xml:space="preserve">Допустимые перерывы в продолжительности приема </w:t>
      </w:r>
      <w:r w:rsidR="00B129D7">
        <w:rPr>
          <w:rFonts w:ascii="Times New Roman" w:hAnsi="Times New Roman"/>
          <w:sz w:val="28"/>
          <w:szCs w:val="28"/>
        </w:rPr>
        <w:t>хозяйственно-бытовых</w:t>
      </w:r>
      <w:r w:rsidRPr="00C06C50">
        <w:rPr>
          <w:rFonts w:ascii="Times New Roman" w:hAnsi="Times New Roman"/>
          <w:sz w:val="28"/>
          <w:szCs w:val="28"/>
        </w:rPr>
        <w:t xml:space="preserve"> сточных вод приняты в соответствии со ст.21 Федерального закона № ФЗ-416 «О водоснабжении и в</w:t>
      </w:r>
      <w:r>
        <w:rPr>
          <w:rFonts w:ascii="Times New Roman" w:hAnsi="Times New Roman"/>
          <w:sz w:val="28"/>
          <w:szCs w:val="28"/>
        </w:rPr>
        <w:t>одоотведении» от 07.12.2011</w:t>
      </w:r>
      <w:r w:rsidRPr="00C06C50">
        <w:rPr>
          <w:rFonts w:ascii="Times New Roman" w:hAnsi="Times New Roman"/>
          <w:sz w:val="28"/>
          <w:szCs w:val="28"/>
        </w:rPr>
        <w:t>.</w:t>
      </w:r>
    </w:p>
    <w:p w:rsidR="0074784E" w:rsidRPr="007D7720" w:rsidRDefault="0074784E" w:rsidP="007478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55"/>
        <w:gridCol w:w="4726"/>
      </w:tblGrid>
      <w:tr w:rsidR="0074784E" w:rsidRPr="00CB2D6B" w:rsidTr="0074784E">
        <w:trPr>
          <w:trHeight w:val="272"/>
        </w:trPr>
        <w:tc>
          <w:tcPr>
            <w:tcW w:w="2584" w:type="pct"/>
          </w:tcPr>
          <w:p w:rsidR="0074784E" w:rsidRPr="00656863" w:rsidRDefault="00FD2838" w:rsidP="00FD28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2838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74784E" w:rsidRPr="00656863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784E" w:rsidRPr="005360CE" w:rsidTr="0074784E">
        <w:trPr>
          <w:trHeight w:val="549"/>
        </w:trPr>
        <w:tc>
          <w:tcPr>
            <w:tcW w:w="2584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74784E" w:rsidRDefault="0074784E" w:rsidP="00747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4784E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4784E" w:rsidSect="0074784E">
          <w:pgSz w:w="11906" w:h="16838"/>
          <w:pgMar w:top="680" w:right="707" w:bottom="680" w:left="1418" w:header="709" w:footer="295" w:gutter="0"/>
          <w:cols w:space="708"/>
          <w:docGrid w:linePitch="360"/>
        </w:sectPr>
      </w:pPr>
    </w:p>
    <w:p w:rsidR="0074784E" w:rsidRPr="00673691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A3D6A" w:rsidRPr="00673691" w:rsidRDefault="003A3D6A" w:rsidP="003A3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74784E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394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895"/>
      <w:bookmarkEnd w:id="7"/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7D7720">
        <w:rPr>
          <w:rFonts w:ascii="Times New Roman" w:hAnsi="Times New Roman" w:cs="Times New Roman"/>
          <w:b/>
          <w:sz w:val="28"/>
          <w:szCs w:val="28"/>
        </w:rPr>
        <w:t xml:space="preserve">об узлах учета и приборах учета </w:t>
      </w:r>
    </w:p>
    <w:p w:rsidR="00606394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20">
        <w:rPr>
          <w:rFonts w:ascii="Times New Roman" w:hAnsi="Times New Roman" w:cs="Times New Roman"/>
          <w:b/>
          <w:sz w:val="28"/>
          <w:szCs w:val="28"/>
        </w:rPr>
        <w:t>сточных вод</w:t>
      </w:r>
      <w:r w:rsidR="00B1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720">
        <w:rPr>
          <w:rFonts w:ascii="Times New Roman" w:hAnsi="Times New Roman" w:cs="Times New Roman"/>
          <w:b/>
          <w:sz w:val="28"/>
          <w:szCs w:val="28"/>
        </w:rPr>
        <w:t>и о местах отбора проб сточных вод</w:t>
      </w:r>
      <w:r w:rsidR="00346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84E" w:rsidRPr="007D7720" w:rsidRDefault="0034615D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(ФОРМА)</w:t>
      </w:r>
    </w:p>
    <w:p w:rsidR="0074784E" w:rsidRPr="007D7720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2890"/>
        <w:gridCol w:w="1919"/>
        <w:gridCol w:w="2178"/>
        <w:gridCol w:w="1586"/>
      </w:tblGrid>
      <w:tr w:rsidR="0074784E" w:rsidRPr="00673691" w:rsidTr="0074784E">
        <w:tc>
          <w:tcPr>
            <w:tcW w:w="851" w:type="dxa"/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 в составе узла учета</w:t>
            </w:r>
          </w:p>
        </w:tc>
        <w:tc>
          <w:tcPr>
            <w:tcW w:w="2027" w:type="dxa"/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 на начало подачи ресурса</w:t>
            </w:r>
          </w:p>
        </w:tc>
        <w:tc>
          <w:tcPr>
            <w:tcW w:w="2221" w:type="dxa"/>
            <w:vAlign w:val="center"/>
          </w:tcPr>
          <w:p w:rsidR="0074784E" w:rsidRPr="00673691" w:rsidRDefault="0074784E" w:rsidP="0074784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38" w:type="dxa"/>
            <w:vAlign w:val="center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74784E" w:rsidRPr="00673691" w:rsidTr="0074784E">
        <w:tc>
          <w:tcPr>
            <w:tcW w:w="851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84E" w:rsidRPr="00673691" w:rsidTr="0074784E">
        <w:tc>
          <w:tcPr>
            <w:tcW w:w="851" w:type="dxa"/>
          </w:tcPr>
          <w:p w:rsidR="0074784E" w:rsidRPr="00673691" w:rsidRDefault="0074784E" w:rsidP="007478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784E" w:rsidRPr="00B7168A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74784E" w:rsidRPr="00673691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84E" w:rsidRPr="007D7720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4E" w:rsidRPr="007D7720" w:rsidRDefault="0074784E" w:rsidP="007478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798"/>
        <w:gridCol w:w="2003"/>
        <w:gridCol w:w="2145"/>
      </w:tblGrid>
      <w:tr w:rsidR="0074784E" w:rsidRPr="00F520E8" w:rsidTr="007478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Месторасположение узла учета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Диаметр прибора учета,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диаметр трубопровода в месте установки приборов учета, мм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74784E" w:rsidRPr="00F520E8" w:rsidTr="007478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84E" w:rsidRPr="00F520E8" w:rsidTr="007478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B7168A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B7168A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84E" w:rsidRPr="007D7720" w:rsidRDefault="0074784E" w:rsidP="0074784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784E" w:rsidRPr="007D7720" w:rsidRDefault="0074784E" w:rsidP="0074784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2981"/>
        <w:gridCol w:w="2981"/>
        <w:gridCol w:w="2979"/>
      </w:tblGrid>
      <w:tr w:rsidR="0074784E" w:rsidRPr="00F520E8" w:rsidTr="0074784E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Месторасположение места отбора проб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отбора проб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74784E" w:rsidRPr="00F520E8" w:rsidTr="0074784E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84E" w:rsidRPr="00F520E8" w:rsidTr="0074784E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E" w:rsidRPr="00F520E8" w:rsidRDefault="0074784E" w:rsidP="0074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84E" w:rsidRDefault="0074784E" w:rsidP="00747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84"/>
        <w:gridCol w:w="4712"/>
      </w:tblGrid>
      <w:tr w:rsidR="0074784E" w:rsidRPr="00CB2D6B" w:rsidTr="0074784E">
        <w:trPr>
          <w:trHeight w:val="272"/>
        </w:trPr>
        <w:tc>
          <w:tcPr>
            <w:tcW w:w="2584" w:type="pct"/>
          </w:tcPr>
          <w:p w:rsidR="0074784E" w:rsidRPr="00656863" w:rsidRDefault="00FD2838" w:rsidP="007478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2838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74784E" w:rsidRPr="00656863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784E" w:rsidRPr="005360CE" w:rsidTr="0074784E">
        <w:trPr>
          <w:trHeight w:val="549"/>
        </w:trPr>
        <w:tc>
          <w:tcPr>
            <w:tcW w:w="2584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74784E" w:rsidRDefault="0074784E" w:rsidP="00747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74784E" w:rsidRPr="005360CE" w:rsidRDefault="0074784E" w:rsidP="00747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4784E" w:rsidRDefault="0074784E" w:rsidP="00747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6394" w:rsidRDefault="00606394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74784E" w:rsidRPr="00F520E8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A7758">
        <w:rPr>
          <w:rFonts w:ascii="Times New Roman" w:hAnsi="Times New Roman" w:cs="Times New Roman"/>
          <w:sz w:val="24"/>
          <w:szCs w:val="24"/>
        </w:rPr>
        <w:t>4</w:t>
      </w:r>
    </w:p>
    <w:p w:rsidR="003A3D6A" w:rsidRPr="00673691" w:rsidRDefault="003A3D6A" w:rsidP="003A3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74784E" w:rsidRDefault="0074784E" w:rsidP="00747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4E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784E" w:rsidRPr="002C144B" w:rsidRDefault="0074784E" w:rsidP="00747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4784E" w:rsidRPr="002C144B" w:rsidRDefault="0074784E" w:rsidP="0020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4B">
        <w:rPr>
          <w:rFonts w:ascii="Times New Roman" w:hAnsi="Times New Roman" w:cs="Times New Roman"/>
          <w:b/>
          <w:sz w:val="28"/>
          <w:szCs w:val="28"/>
        </w:rPr>
        <w:t xml:space="preserve"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вод, установленных </w:t>
      </w:r>
      <w:r w:rsidR="00207E28" w:rsidRPr="00207E28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207E28">
        <w:rPr>
          <w:rFonts w:ascii="Times New Roman" w:hAnsi="Times New Roman" w:cs="Times New Roman"/>
          <w:b/>
          <w:sz w:val="28"/>
          <w:szCs w:val="28"/>
        </w:rPr>
        <w:t>п</w:t>
      </w:r>
      <w:r w:rsidR="00207E28" w:rsidRPr="00207E28">
        <w:rPr>
          <w:rFonts w:ascii="Times New Roman" w:hAnsi="Times New Roman" w:cs="Times New Roman"/>
          <w:b/>
          <w:sz w:val="28"/>
          <w:szCs w:val="28"/>
        </w:rPr>
        <w:t>редотвращения</w:t>
      </w:r>
      <w:r w:rsidR="00207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28" w:rsidRPr="00207E28">
        <w:rPr>
          <w:rFonts w:ascii="Times New Roman" w:hAnsi="Times New Roman" w:cs="Times New Roman"/>
          <w:b/>
          <w:sz w:val="28"/>
          <w:szCs w:val="28"/>
        </w:rPr>
        <w:t>не</w:t>
      </w:r>
      <w:r w:rsidR="00FD2838">
        <w:rPr>
          <w:rFonts w:ascii="Times New Roman" w:hAnsi="Times New Roman" w:cs="Times New Roman"/>
          <w:b/>
          <w:sz w:val="28"/>
          <w:szCs w:val="28"/>
        </w:rPr>
        <w:t>гативного воздействия на работу ц</w:t>
      </w:r>
      <w:r w:rsidR="00207E28" w:rsidRPr="00207E28">
        <w:rPr>
          <w:rFonts w:ascii="Times New Roman" w:hAnsi="Times New Roman" w:cs="Times New Roman"/>
          <w:b/>
          <w:sz w:val="28"/>
          <w:szCs w:val="28"/>
        </w:rPr>
        <w:t>ентрализованной</w:t>
      </w:r>
      <w:r w:rsidR="00FD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28">
        <w:rPr>
          <w:rFonts w:ascii="Times New Roman" w:hAnsi="Times New Roman" w:cs="Times New Roman"/>
          <w:b/>
          <w:sz w:val="28"/>
          <w:szCs w:val="28"/>
        </w:rPr>
        <w:t>с</w:t>
      </w:r>
      <w:r w:rsidR="00207E28" w:rsidRPr="00207E28">
        <w:rPr>
          <w:rFonts w:ascii="Times New Roman" w:hAnsi="Times New Roman" w:cs="Times New Roman"/>
          <w:b/>
          <w:sz w:val="28"/>
          <w:szCs w:val="28"/>
        </w:rPr>
        <w:t>истемы водоотведения</w:t>
      </w:r>
    </w:p>
    <w:p w:rsidR="0074784E" w:rsidRDefault="0074784E" w:rsidP="00747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939"/>
        <w:gridCol w:w="3183"/>
      </w:tblGrid>
      <w:tr w:rsidR="0032161B" w:rsidRPr="002C144B" w:rsidTr="00FB594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канализационных выпусков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Допустимые концентрации загрязняющих веществ, мг/дм</w:t>
            </w:r>
            <w:r w:rsidRPr="002C1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2161B" w:rsidRPr="002C144B" w:rsidTr="00FB594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61B" w:rsidRPr="002C144B" w:rsidTr="00FB594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single" w:sz="4" w:space="0" w:color="auto"/>
              <w:right w:val="single" w:sz="4" w:space="0" w:color="auto"/>
            </w:tcBorders>
          </w:tcPr>
          <w:p w:rsidR="0032161B" w:rsidRPr="002C144B" w:rsidRDefault="0032161B" w:rsidP="008A7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61B" w:rsidRDefault="0032161B" w:rsidP="00747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161B" w:rsidRPr="00FB5945" w:rsidRDefault="0032161B" w:rsidP="0032161B">
      <w:pPr>
        <w:pStyle w:val="Style11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  <w:u w:val="single"/>
        </w:rPr>
      </w:pPr>
      <w:r w:rsidRPr="00FB5945">
        <w:rPr>
          <w:rStyle w:val="FontStyle25"/>
          <w:rFonts w:ascii="Times New Roman" w:hAnsi="Times New Roman" w:cs="Times New Roman"/>
          <w:sz w:val="20"/>
          <w:szCs w:val="20"/>
          <w:u w:val="single"/>
        </w:rPr>
        <w:t>Примечание:</w:t>
      </w:r>
    </w:p>
    <w:p w:rsidR="0032161B" w:rsidRPr="00FB5945" w:rsidRDefault="0032161B" w:rsidP="0032161B">
      <w:pPr>
        <w:pStyle w:val="Style11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FB5945">
        <w:rPr>
          <w:rStyle w:val="FontStyle21"/>
          <w:rFonts w:ascii="Times New Roman" w:hAnsi="Times New Roman" w:cs="Times New Roman"/>
          <w:sz w:val="20"/>
          <w:szCs w:val="20"/>
        </w:rPr>
        <w:t xml:space="preserve">1. </w:t>
      </w:r>
      <w:r w:rsidRPr="00FB5945">
        <w:rPr>
          <w:rStyle w:val="FontStyle25"/>
          <w:rFonts w:ascii="Times New Roman" w:hAnsi="Times New Roman" w:cs="Times New Roman"/>
          <w:sz w:val="20"/>
          <w:szCs w:val="20"/>
        </w:rPr>
        <w:t xml:space="preserve">Сброс загрязняющих веществ, не </w:t>
      </w:r>
      <w:r w:rsidRPr="00FB5945">
        <w:rPr>
          <w:rStyle w:val="FontStyle24"/>
          <w:rFonts w:ascii="Times New Roman" w:hAnsi="Times New Roman" w:cs="Times New Roman"/>
          <w:sz w:val="20"/>
          <w:szCs w:val="20"/>
        </w:rPr>
        <w:t xml:space="preserve">указанных </w:t>
      </w:r>
      <w:r w:rsidRPr="00FB5945">
        <w:rPr>
          <w:rStyle w:val="FontStyle25"/>
          <w:rFonts w:ascii="Times New Roman" w:hAnsi="Times New Roman" w:cs="Times New Roman"/>
          <w:sz w:val="20"/>
          <w:szCs w:val="20"/>
        </w:rPr>
        <w:t>в перечне, допускается в концентрациях</w:t>
      </w:r>
      <w:r w:rsidR="00FB5945">
        <w:rPr>
          <w:rStyle w:val="FontStyle25"/>
          <w:rFonts w:ascii="Times New Roman" w:hAnsi="Times New Roman" w:cs="Times New Roman"/>
          <w:sz w:val="20"/>
          <w:szCs w:val="20"/>
        </w:rPr>
        <w:t>,</w:t>
      </w:r>
      <w:r w:rsidRPr="00FB5945">
        <w:rPr>
          <w:rStyle w:val="FontStyle25"/>
          <w:rFonts w:ascii="Times New Roman" w:hAnsi="Times New Roman" w:cs="Times New Roman"/>
          <w:sz w:val="20"/>
          <w:szCs w:val="20"/>
        </w:rPr>
        <w:t xml:space="preserve"> не превышающих соответствующие предельно допустимые концентрации (ПДК) в воде водоемов хозяйственно-питьевого и рыбохозяйственного пользования (по минимальному значению ПДК).</w:t>
      </w:r>
    </w:p>
    <w:p w:rsidR="0032161B" w:rsidRPr="00FB5945" w:rsidRDefault="0032161B" w:rsidP="0032161B">
      <w:pPr>
        <w:pStyle w:val="Style16"/>
        <w:widowControl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FB5945">
        <w:rPr>
          <w:rStyle w:val="FontStyle25"/>
          <w:rFonts w:ascii="Times New Roman" w:hAnsi="Times New Roman" w:cs="Times New Roman"/>
          <w:sz w:val="20"/>
          <w:szCs w:val="20"/>
        </w:rPr>
        <w:t>2. Жиры и нефтепродукты допускаются к сбросу в системы канализации только в растворенном и эмульгированном состоянии.</w:t>
      </w:r>
    </w:p>
    <w:p w:rsidR="0087721A" w:rsidRPr="0087721A" w:rsidRDefault="0087721A" w:rsidP="0087721A">
      <w:pPr>
        <w:pStyle w:val="Style16"/>
        <w:widowControl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3</w:t>
      </w:r>
      <w:r w:rsidR="00914931">
        <w:rPr>
          <w:rStyle w:val="FontStyle25"/>
          <w:rFonts w:ascii="Times New Roman" w:hAnsi="Times New Roman" w:cs="Times New Roman"/>
          <w:sz w:val="20"/>
          <w:szCs w:val="20"/>
        </w:rPr>
        <w:t>.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Абонент обязан 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проводить ежемесячный лабораторный контроль сточных вод из контрольного канализационного колодца перед выпуском их в централизованную систему водоотведения Гарантирующей организации и подавать эти сведения в Гарантирующую организацию. </w:t>
      </w:r>
    </w:p>
    <w:p w:rsidR="0032161B" w:rsidRPr="0032161B" w:rsidRDefault="0032161B" w:rsidP="003216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2161B" w:rsidRDefault="0032161B" w:rsidP="00747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5945" w:rsidRDefault="00FB5945" w:rsidP="00747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84"/>
        <w:gridCol w:w="4712"/>
      </w:tblGrid>
      <w:tr w:rsidR="00FB5945" w:rsidRPr="00CB2D6B" w:rsidTr="008A7131">
        <w:trPr>
          <w:trHeight w:val="272"/>
        </w:trPr>
        <w:tc>
          <w:tcPr>
            <w:tcW w:w="2584" w:type="pct"/>
          </w:tcPr>
          <w:p w:rsidR="00FB5945" w:rsidRPr="00656863" w:rsidRDefault="00FB5945" w:rsidP="008A71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0BC3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FB5945" w:rsidRPr="00656863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B5945" w:rsidRPr="005360CE" w:rsidTr="008A7131">
        <w:trPr>
          <w:trHeight w:val="549"/>
        </w:trPr>
        <w:tc>
          <w:tcPr>
            <w:tcW w:w="2584" w:type="pct"/>
          </w:tcPr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FB5945" w:rsidRDefault="00FB5945" w:rsidP="008A7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FB5945" w:rsidRPr="005360CE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45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FB5945" w:rsidRPr="005360CE" w:rsidRDefault="00FB5945" w:rsidP="008A7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2161B" w:rsidRDefault="0032161B" w:rsidP="00747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6394" w:rsidRDefault="0060639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43A1" w:rsidRPr="00F520E8" w:rsidRDefault="00C243A1" w:rsidP="00C24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243A1" w:rsidRPr="00673691" w:rsidRDefault="00C243A1" w:rsidP="00C24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C243A1" w:rsidRPr="00F520E8" w:rsidRDefault="00C243A1" w:rsidP="00C24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3A1" w:rsidRPr="007D7720" w:rsidRDefault="00C243A1" w:rsidP="00C2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3A1" w:rsidRPr="00A07B71" w:rsidRDefault="00C243A1" w:rsidP="00C243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958"/>
      <w:bookmarkEnd w:id="8"/>
      <w:r w:rsidRPr="00A07B7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243A1" w:rsidRPr="007D7720" w:rsidRDefault="00C243A1" w:rsidP="00C243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71">
        <w:rPr>
          <w:rFonts w:ascii="Times New Roman" w:hAnsi="Times New Roman" w:cs="Times New Roman"/>
          <w:b/>
          <w:sz w:val="28"/>
          <w:szCs w:val="28"/>
        </w:rPr>
        <w:t>о нормативах объемов, отводимых в централизованную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B71">
        <w:rPr>
          <w:rFonts w:ascii="Times New Roman" w:hAnsi="Times New Roman" w:cs="Times New Roman"/>
          <w:b/>
          <w:sz w:val="28"/>
          <w:szCs w:val="28"/>
        </w:rPr>
        <w:t>систему водоотведения,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B71">
        <w:rPr>
          <w:rFonts w:ascii="Times New Roman" w:hAnsi="Times New Roman" w:cs="Times New Roman"/>
          <w:b/>
          <w:sz w:val="28"/>
          <w:szCs w:val="28"/>
        </w:rPr>
        <w:t>установленных для Абонента</w:t>
      </w:r>
    </w:p>
    <w:p w:rsidR="00C243A1" w:rsidRPr="007D7720" w:rsidRDefault="00C243A1" w:rsidP="00C2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711"/>
      </w:tblGrid>
      <w:tr w:rsidR="00C243A1" w:rsidRPr="00606394" w:rsidTr="00481108">
        <w:trPr>
          <w:tblCellSpacing w:w="5" w:type="nil"/>
        </w:trPr>
        <w:tc>
          <w:tcPr>
            <w:tcW w:w="4928" w:type="dxa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b/>
                <w:sz w:val="24"/>
                <w:szCs w:val="24"/>
              </w:rPr>
              <w:t>Сточные воды, куб. м</w:t>
            </w: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11" w:type="dxa"/>
            <w:vAlign w:val="center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11" w:type="dxa"/>
          </w:tcPr>
          <w:p w:rsidR="00C243A1" w:rsidRPr="00606394" w:rsidRDefault="00C243A1" w:rsidP="0048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43A1" w:rsidRPr="00606394" w:rsidTr="00481108">
        <w:trPr>
          <w:tblCellSpacing w:w="5" w:type="nil"/>
        </w:trPr>
        <w:tc>
          <w:tcPr>
            <w:tcW w:w="4928" w:type="dxa"/>
            <w:vAlign w:val="center"/>
          </w:tcPr>
          <w:p w:rsidR="00C243A1" w:rsidRPr="00606394" w:rsidRDefault="00C243A1" w:rsidP="0048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1" w:type="dxa"/>
            <w:vAlign w:val="center"/>
          </w:tcPr>
          <w:p w:rsidR="00C243A1" w:rsidRPr="00606394" w:rsidRDefault="00C243A1" w:rsidP="0048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243A1" w:rsidRPr="007D7720" w:rsidRDefault="00C243A1" w:rsidP="00C2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3A1" w:rsidRDefault="00C243A1" w:rsidP="00C243A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84"/>
        <w:gridCol w:w="4712"/>
      </w:tblGrid>
      <w:tr w:rsidR="00C243A1" w:rsidRPr="00CB2D6B" w:rsidTr="00481108">
        <w:trPr>
          <w:trHeight w:val="272"/>
        </w:trPr>
        <w:tc>
          <w:tcPr>
            <w:tcW w:w="2584" w:type="pct"/>
          </w:tcPr>
          <w:p w:rsidR="00C243A1" w:rsidRPr="00656863" w:rsidRDefault="00C243A1" w:rsidP="00481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0BC3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C243A1" w:rsidRPr="00656863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243A1" w:rsidRPr="005360CE" w:rsidTr="00481108">
        <w:trPr>
          <w:trHeight w:val="549"/>
        </w:trPr>
        <w:tc>
          <w:tcPr>
            <w:tcW w:w="2584" w:type="pct"/>
          </w:tcPr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C243A1" w:rsidRDefault="00C243A1" w:rsidP="00481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C243A1" w:rsidRPr="005360CE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3A1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C243A1" w:rsidRPr="005360CE" w:rsidRDefault="00C243A1" w:rsidP="0048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C243A1" w:rsidRDefault="00C243A1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394" w:rsidRDefault="0060639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84E" w:rsidRPr="00F520E8" w:rsidRDefault="0074784E" w:rsidP="007478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243A1">
        <w:rPr>
          <w:rFonts w:ascii="Times New Roman" w:hAnsi="Times New Roman" w:cs="Times New Roman"/>
          <w:sz w:val="24"/>
          <w:szCs w:val="24"/>
        </w:rPr>
        <w:t>6</w:t>
      </w:r>
    </w:p>
    <w:p w:rsidR="003A3D6A" w:rsidRPr="00673691" w:rsidRDefault="003A3D6A" w:rsidP="003A3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207E28">
        <w:rPr>
          <w:rFonts w:ascii="Times New Roman" w:hAnsi="Times New Roman" w:cs="Times New Roman"/>
          <w:sz w:val="24"/>
          <w:szCs w:val="24"/>
        </w:rPr>
        <w:t>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74784E" w:rsidRDefault="0074784E" w:rsidP="0074784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84E" w:rsidRPr="00297DC8" w:rsidRDefault="0074784E" w:rsidP="0074784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DC8">
        <w:rPr>
          <w:rFonts w:ascii="Times New Roman" w:hAnsi="Times New Roman" w:cs="Times New Roman"/>
          <w:b/>
          <w:sz w:val="28"/>
          <w:szCs w:val="28"/>
          <w:lang w:eastAsia="ru-RU"/>
        </w:rPr>
        <w:t>АКТ (ФОРМА)</w:t>
      </w:r>
    </w:p>
    <w:p w:rsidR="0074784E" w:rsidRDefault="0074784E" w:rsidP="0074784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448F">
        <w:rPr>
          <w:rFonts w:ascii="Times New Roman" w:hAnsi="Times New Roman" w:cs="Times New Roman"/>
          <w:sz w:val="28"/>
          <w:szCs w:val="28"/>
          <w:lang w:eastAsia="ru-RU"/>
        </w:rPr>
        <w:t>приема-передачи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BC3" w:rsidRPr="001A3237">
        <w:rPr>
          <w:rFonts w:ascii="Times New Roman" w:hAnsi="Times New Roman" w:cs="Times New Roman"/>
          <w:sz w:val="28"/>
          <w:szCs w:val="28"/>
          <w:lang w:eastAsia="ru-RU"/>
        </w:rPr>
        <w:t>оказанных услуг</w:t>
      </w:r>
    </w:p>
    <w:p w:rsidR="0074784E" w:rsidRDefault="0074784E" w:rsidP="0074784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______ 20___</w:t>
      </w:r>
      <w:r w:rsidRPr="006E448F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4784E" w:rsidRPr="00207E28" w:rsidRDefault="0074784E" w:rsidP="0074784E">
      <w:pPr>
        <w:pStyle w:val="a8"/>
        <w:jc w:val="center"/>
        <w:rPr>
          <w:rFonts w:ascii="Times New Roman" w:hAnsi="Times New Roman" w:cs="Times New Roman"/>
          <w:lang w:eastAsia="ru-RU"/>
        </w:rPr>
      </w:pPr>
    </w:p>
    <w:p w:rsidR="0074784E" w:rsidRPr="00207E28" w:rsidRDefault="00207E28" w:rsidP="0074784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="0074784E" w:rsidRPr="00207E28">
        <w:rPr>
          <w:rFonts w:ascii="Times New Roman" w:eastAsia="Times New Roman" w:hAnsi="Times New Roman" w:cs="Times New Roman"/>
          <w:color w:val="000000"/>
        </w:rPr>
        <w:tab/>
      </w:r>
      <w:r w:rsidR="0074784E" w:rsidRPr="00207E28">
        <w:rPr>
          <w:rFonts w:ascii="Times New Roman" w:eastAsia="Times New Roman" w:hAnsi="Times New Roman" w:cs="Times New Roman"/>
          <w:color w:val="000000"/>
        </w:rPr>
        <w:tab/>
      </w:r>
      <w:r w:rsidR="0074784E" w:rsidRPr="00207E28">
        <w:rPr>
          <w:rFonts w:ascii="Times New Roman" w:eastAsia="Times New Roman" w:hAnsi="Times New Roman" w:cs="Times New Roman"/>
          <w:color w:val="000000"/>
        </w:rPr>
        <w:tab/>
      </w:r>
      <w:r w:rsidR="0074784E" w:rsidRPr="00207E28">
        <w:rPr>
          <w:rFonts w:ascii="Times New Roman" w:eastAsia="Times New Roman" w:hAnsi="Times New Roman" w:cs="Times New Roman"/>
          <w:color w:val="000000"/>
        </w:rPr>
        <w:tab/>
      </w:r>
      <w:r w:rsidR="0074784E" w:rsidRPr="00207E28">
        <w:rPr>
          <w:rFonts w:ascii="Times New Roman" w:eastAsia="Times New Roman" w:hAnsi="Times New Roman" w:cs="Times New Roman"/>
          <w:color w:val="000000"/>
        </w:rPr>
        <w:tab/>
        <w:t>________________ 20__г.</w:t>
      </w:r>
    </w:p>
    <w:p w:rsidR="0074784E" w:rsidRPr="00207E28" w:rsidRDefault="0074784E" w:rsidP="0074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07E28">
        <w:rPr>
          <w:rFonts w:ascii="Times New Roman" w:eastAsia="Times New Roman" w:hAnsi="Times New Roman" w:cs="Times New Roman"/>
          <w:color w:val="000000"/>
        </w:rPr>
        <w:tab/>
      </w:r>
      <w:r w:rsidRPr="00207E28">
        <w:rPr>
          <w:rFonts w:ascii="Times New Roman" w:eastAsia="Times New Roman" w:hAnsi="Times New Roman" w:cs="Times New Roman"/>
          <w:b/>
          <w:color w:val="000000"/>
        </w:rPr>
        <w:t>АО «ОЭЗ ППТ «Липецк»</w:t>
      </w:r>
      <w:r w:rsidRPr="00207E28">
        <w:rPr>
          <w:rFonts w:ascii="Times New Roman" w:eastAsia="Times New Roman" w:hAnsi="Times New Roman" w:cs="Times New Roman"/>
          <w:color w:val="000000"/>
        </w:rPr>
        <w:t>, именуемое в дальнейшем "</w:t>
      </w:r>
      <w:r w:rsidR="00FB0BC3" w:rsidRPr="00FB0BC3">
        <w:t xml:space="preserve"> </w:t>
      </w:r>
      <w:r w:rsidR="00FB0BC3" w:rsidRPr="00FB0BC3">
        <w:rPr>
          <w:rFonts w:ascii="Times New Roman" w:eastAsia="Times New Roman" w:hAnsi="Times New Roman" w:cs="Times New Roman"/>
          <w:color w:val="000000"/>
        </w:rPr>
        <w:t xml:space="preserve">Гарантирующая организация </w:t>
      </w:r>
      <w:r w:rsidRPr="00207E28">
        <w:rPr>
          <w:rFonts w:ascii="Times New Roman" w:eastAsia="Times New Roman" w:hAnsi="Times New Roman" w:cs="Times New Roman"/>
          <w:color w:val="000000"/>
        </w:rPr>
        <w:t xml:space="preserve">", в лице __________________________, действующего на основании ___________, с одной стороны, и </w:t>
      </w:r>
      <w:r w:rsidRPr="00207E28">
        <w:rPr>
          <w:rFonts w:ascii="Times New Roman" w:eastAsia="Times New Roman" w:hAnsi="Times New Roman"/>
          <w:b/>
        </w:rPr>
        <w:t>_______________</w:t>
      </w:r>
      <w:r w:rsidRPr="00207E28">
        <w:rPr>
          <w:rFonts w:ascii="Times New Roman" w:eastAsia="Times New Roman" w:hAnsi="Times New Roman" w:cs="Times New Roman"/>
          <w:color w:val="000000"/>
        </w:rPr>
        <w:t xml:space="preserve">, именуемое в дальнейшем "Абонент", в лице </w:t>
      </w:r>
      <w:r w:rsidRPr="00207E28">
        <w:rPr>
          <w:rFonts w:ascii="Times New Roman" w:hAnsi="Times New Roman"/>
        </w:rPr>
        <w:t>____________________________</w:t>
      </w:r>
      <w:r w:rsidRPr="00207E28">
        <w:rPr>
          <w:rFonts w:ascii="Times New Roman" w:hAnsi="Times New Roman" w:cs="Times New Roman"/>
        </w:rPr>
        <w:t xml:space="preserve">, действующего на основании </w:t>
      </w:r>
      <w:r w:rsidRPr="00207E28">
        <w:rPr>
          <w:rFonts w:ascii="Times New Roman" w:eastAsia="Times New Roman" w:hAnsi="Times New Roman" w:cs="Times New Roman"/>
        </w:rPr>
        <w:t>___________</w:t>
      </w:r>
      <w:r w:rsidRPr="00207E28">
        <w:rPr>
          <w:rFonts w:ascii="Times New Roman" w:eastAsia="Times New Roman" w:hAnsi="Times New Roman" w:cs="Times New Roman"/>
          <w:color w:val="000000"/>
        </w:rPr>
        <w:t>, с другой стороны, составили настоящий акт о нижеследующем:</w:t>
      </w:r>
    </w:p>
    <w:p w:rsidR="0074784E" w:rsidRPr="00207E28" w:rsidRDefault="0074784E" w:rsidP="0074784E">
      <w:pPr>
        <w:spacing w:after="0" w:line="240" w:lineRule="auto"/>
        <w:jc w:val="both"/>
      </w:pPr>
      <w:r w:rsidRPr="00207E28">
        <w:rPr>
          <w:rFonts w:ascii="Times New Roman" w:eastAsia="Times New Roman" w:hAnsi="Times New Roman" w:cs="Times New Roman"/>
          <w:color w:val="000000"/>
        </w:rPr>
        <w:t xml:space="preserve">1. </w:t>
      </w:r>
      <w:r w:rsidR="00FB0BC3" w:rsidRPr="00FB0BC3">
        <w:rPr>
          <w:rFonts w:ascii="Times New Roman" w:eastAsia="Times New Roman" w:hAnsi="Times New Roman" w:cs="Times New Roman"/>
          <w:color w:val="000000"/>
        </w:rPr>
        <w:t>Гарантирующая организация</w:t>
      </w:r>
      <w:r w:rsidRPr="00207E28">
        <w:rPr>
          <w:rFonts w:ascii="Times New Roman" w:eastAsia="Times New Roman" w:hAnsi="Times New Roman" w:cs="Times New Roman"/>
          <w:color w:val="000000"/>
        </w:rPr>
        <w:t xml:space="preserve"> оказала услуги Абоненту в соответствии с Договором </w:t>
      </w:r>
      <w:r w:rsidR="00FB0BC3">
        <w:rPr>
          <w:rFonts w:ascii="Times New Roman" w:eastAsia="Times New Roman" w:hAnsi="Times New Roman" w:cs="Times New Roman"/>
          <w:color w:val="000000"/>
        </w:rPr>
        <w:t xml:space="preserve">централизованного </w:t>
      </w:r>
      <w:r w:rsidRPr="00207E28">
        <w:rPr>
          <w:rFonts w:ascii="Times New Roman" w:eastAsia="Times New Roman" w:hAnsi="Times New Roman" w:cs="Times New Roman"/>
          <w:color w:val="000000"/>
        </w:rPr>
        <w:t>водоотведения №_____ от ________________ в ___________ 20__ года в полном объеме: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40"/>
        <w:gridCol w:w="4100"/>
        <w:gridCol w:w="1540"/>
        <w:gridCol w:w="1840"/>
        <w:gridCol w:w="1380"/>
      </w:tblGrid>
      <w:tr w:rsidR="0074784E" w:rsidRPr="00207E28" w:rsidTr="00207E28">
        <w:trPr>
          <w:trHeight w:val="8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№     п/п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Размерность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Формула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</w:tr>
      <w:tr w:rsidR="0074784E" w:rsidRPr="00207E28" w:rsidTr="00207E28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93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 xml:space="preserve">Ставка тарифа на водоотведение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руб./куб.м.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84E" w:rsidRPr="00207E28" w:rsidTr="00207E28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Объем сточных вод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84E" w:rsidRPr="00207E28" w:rsidTr="00207E28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Стоимость услуг по водоотведению сточных вод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84E" w:rsidRPr="00207E28" w:rsidTr="00207E28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НДС (18 %)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84E" w:rsidRPr="00207E28" w:rsidTr="00207E2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Итого: стоимость услуг по водоотведению сточных вод с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2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84E" w:rsidRPr="00207E28" w:rsidRDefault="0074784E" w:rsidP="007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06394" w:rsidRDefault="0074784E" w:rsidP="0074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07E28">
        <w:rPr>
          <w:rFonts w:ascii="Times New Roman" w:eastAsia="Times New Roman" w:hAnsi="Times New Roman" w:cs="Times New Roman"/>
          <w:color w:val="000000"/>
        </w:rPr>
        <w:tab/>
      </w:r>
    </w:p>
    <w:p w:rsidR="0074784E" w:rsidRPr="00207E28" w:rsidRDefault="0074784E" w:rsidP="0060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07E28">
        <w:rPr>
          <w:rFonts w:ascii="Times New Roman" w:eastAsia="Times New Roman" w:hAnsi="Times New Roman" w:cs="Times New Roman"/>
          <w:color w:val="000000"/>
        </w:rPr>
        <w:t>2. Стоимость услуг по водоотведению составила: ___________(_____________) руб. ___ коп., в том числе НДС (18%): _________ руб.</w:t>
      </w:r>
    </w:p>
    <w:p w:rsidR="0074784E" w:rsidRPr="00207E28" w:rsidRDefault="0074784E" w:rsidP="0074784E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207E28">
        <w:rPr>
          <w:rFonts w:ascii="Times New Roman" w:hAnsi="Times New Roman" w:cs="Times New Roman"/>
          <w:color w:val="000000"/>
          <w:szCs w:val="22"/>
        </w:rPr>
        <w:tab/>
        <w:t xml:space="preserve">3. Абонент претензий к </w:t>
      </w:r>
      <w:r w:rsidR="00FB0BC3" w:rsidRPr="00FB0BC3">
        <w:rPr>
          <w:rFonts w:ascii="Times New Roman" w:hAnsi="Times New Roman" w:cs="Times New Roman"/>
          <w:color w:val="000000"/>
        </w:rPr>
        <w:t>Гарантирующ</w:t>
      </w:r>
      <w:r w:rsidR="00FB0BC3">
        <w:rPr>
          <w:rFonts w:ascii="Times New Roman" w:hAnsi="Times New Roman" w:cs="Times New Roman"/>
          <w:color w:val="000000"/>
        </w:rPr>
        <w:t>ей</w:t>
      </w:r>
      <w:r w:rsidR="00FB0BC3" w:rsidRPr="00FB0BC3">
        <w:rPr>
          <w:rFonts w:ascii="Times New Roman" w:hAnsi="Times New Roman" w:cs="Times New Roman"/>
          <w:color w:val="000000"/>
        </w:rPr>
        <w:t xml:space="preserve"> организаци</w:t>
      </w:r>
      <w:r w:rsidR="00FB0BC3">
        <w:rPr>
          <w:rFonts w:ascii="Times New Roman" w:hAnsi="Times New Roman" w:cs="Times New Roman"/>
          <w:color w:val="000000"/>
        </w:rPr>
        <w:t>и</w:t>
      </w:r>
      <w:r w:rsidR="00FB0BC3" w:rsidRPr="00207E28">
        <w:rPr>
          <w:rFonts w:ascii="Times New Roman" w:hAnsi="Times New Roman" w:cs="Times New Roman"/>
          <w:color w:val="000000"/>
        </w:rPr>
        <w:t xml:space="preserve"> </w:t>
      </w:r>
      <w:r w:rsidRPr="00207E28">
        <w:rPr>
          <w:rFonts w:ascii="Times New Roman" w:hAnsi="Times New Roman" w:cs="Times New Roman"/>
          <w:color w:val="000000"/>
          <w:szCs w:val="22"/>
        </w:rPr>
        <w:t>не имеет.</w:t>
      </w:r>
    </w:p>
    <w:p w:rsidR="0074784E" w:rsidRDefault="0074784E" w:rsidP="007478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1"/>
        <w:gridCol w:w="315"/>
      </w:tblGrid>
      <w:tr w:rsidR="0074784E" w:rsidRPr="00297DC8" w:rsidTr="0074784E">
        <w:trPr>
          <w:trHeight w:val="95"/>
        </w:trPr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90"/>
              <w:gridCol w:w="4275"/>
            </w:tblGrid>
            <w:tr w:rsidR="0074784E" w:rsidRPr="00297DC8" w:rsidTr="0074784E">
              <w:trPr>
                <w:trHeight w:val="95"/>
              </w:trPr>
              <w:tc>
                <w:tcPr>
                  <w:tcW w:w="2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784E" w:rsidRPr="00297DC8" w:rsidRDefault="00FB0BC3" w:rsidP="00207E28">
                  <w:pPr>
                    <w:pStyle w:val="Iauiue"/>
                    <w:rPr>
                      <w:sz w:val="24"/>
                      <w:szCs w:val="24"/>
                    </w:rPr>
                  </w:pPr>
                  <w:r w:rsidRPr="00FB0BC3">
                    <w:rPr>
                      <w:sz w:val="24"/>
                      <w:szCs w:val="24"/>
                    </w:rPr>
                    <w:t>Гарантирующая организация</w:t>
                  </w:r>
                  <w:r w:rsidR="0074784E" w:rsidRPr="00297DC8">
                    <w:rPr>
                      <w:sz w:val="24"/>
                      <w:szCs w:val="24"/>
                    </w:rPr>
                    <w:t>:</w:t>
                  </w:r>
                </w:p>
                <w:p w:rsidR="0074784E" w:rsidRPr="00297DC8" w:rsidRDefault="0074784E" w:rsidP="00207E28">
                  <w:pPr>
                    <w:pStyle w:val="Iauiue"/>
                    <w:jc w:val="both"/>
                    <w:rPr>
                      <w:sz w:val="24"/>
                      <w:szCs w:val="24"/>
                    </w:rPr>
                  </w:pPr>
                </w:p>
                <w:p w:rsidR="0074784E" w:rsidRPr="00297DC8" w:rsidRDefault="0074784E" w:rsidP="00207E28">
                  <w:pPr>
                    <w:pStyle w:val="Iauiue"/>
                    <w:jc w:val="both"/>
                    <w:rPr>
                      <w:sz w:val="24"/>
                      <w:szCs w:val="24"/>
                    </w:rPr>
                  </w:pPr>
                  <w:r w:rsidRPr="00297DC8">
                    <w:rPr>
                      <w:sz w:val="24"/>
                      <w:szCs w:val="24"/>
                    </w:rPr>
                    <w:t>____________________________</w:t>
                  </w:r>
                </w:p>
              </w:tc>
              <w:tc>
                <w:tcPr>
                  <w:tcW w:w="23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784E" w:rsidRPr="00297DC8" w:rsidRDefault="0074784E" w:rsidP="00207E28">
                  <w:pPr>
                    <w:pStyle w:val="a9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Абонент</w:t>
                  </w:r>
                  <w:r w:rsidRPr="00297DC8">
                    <w:rPr>
                      <w:sz w:val="24"/>
                      <w:szCs w:val="24"/>
                      <w:lang w:val="ru-RU"/>
                    </w:rPr>
                    <w:t>:</w:t>
                  </w:r>
                </w:p>
                <w:p w:rsidR="0074784E" w:rsidRPr="00297DC8" w:rsidRDefault="0074784E" w:rsidP="00207E28">
                  <w:pPr>
                    <w:pStyle w:val="a9"/>
                    <w:rPr>
                      <w:sz w:val="24"/>
                      <w:szCs w:val="24"/>
                      <w:lang w:val="ru-RU"/>
                    </w:rPr>
                  </w:pPr>
                </w:p>
                <w:p w:rsidR="0074784E" w:rsidRPr="00297DC8" w:rsidRDefault="0074784E" w:rsidP="00207E28">
                  <w:pPr>
                    <w:pStyle w:val="a9"/>
                    <w:rPr>
                      <w:sz w:val="24"/>
                      <w:szCs w:val="24"/>
                      <w:lang w:val="ru-RU"/>
                    </w:rPr>
                  </w:pPr>
                </w:p>
                <w:p w:rsidR="0074784E" w:rsidRPr="00297DC8" w:rsidRDefault="0074784E" w:rsidP="00207E28">
                  <w:pPr>
                    <w:pStyle w:val="a9"/>
                    <w:rPr>
                      <w:sz w:val="24"/>
                      <w:szCs w:val="24"/>
                      <w:lang w:val="ru-RU"/>
                    </w:rPr>
                  </w:pPr>
                  <w:r w:rsidRPr="00297DC8">
                    <w:rPr>
                      <w:sz w:val="24"/>
                      <w:szCs w:val="24"/>
                      <w:lang w:val="ru-RU"/>
                    </w:rPr>
                    <w:t>___________________________</w:t>
                  </w:r>
                </w:p>
              </w:tc>
            </w:tr>
          </w:tbl>
          <w:p w:rsidR="0074784E" w:rsidRPr="00297DC8" w:rsidRDefault="0074784E" w:rsidP="0020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97DC8">
              <w:rPr>
                <w:b/>
                <w:sz w:val="24"/>
                <w:szCs w:val="24"/>
              </w:rPr>
              <w:t>______________________________________________________________</w:t>
            </w:r>
            <w:r>
              <w:rPr>
                <w:b/>
                <w:sz w:val="24"/>
                <w:szCs w:val="24"/>
              </w:rPr>
              <w:t>____________</w:t>
            </w:r>
            <w:r w:rsidR="00207E28"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74784E" w:rsidRPr="00297DC8" w:rsidRDefault="0074784E" w:rsidP="0020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4784E" w:rsidRDefault="0074784E" w:rsidP="00207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7DC8">
        <w:rPr>
          <w:rFonts w:ascii="Times New Roman" w:hAnsi="Times New Roman" w:cs="Times New Roman"/>
          <w:b/>
          <w:sz w:val="26"/>
          <w:szCs w:val="26"/>
          <w:u w:val="single"/>
        </w:rPr>
        <w:t>Форма согласована:</w:t>
      </w:r>
    </w:p>
    <w:p w:rsidR="0074784E" w:rsidRDefault="0074784E" w:rsidP="00207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84"/>
        <w:gridCol w:w="4712"/>
      </w:tblGrid>
      <w:tr w:rsidR="0074784E" w:rsidRPr="00656863" w:rsidTr="0074784E">
        <w:trPr>
          <w:trHeight w:val="272"/>
        </w:trPr>
        <w:tc>
          <w:tcPr>
            <w:tcW w:w="2584" w:type="pct"/>
          </w:tcPr>
          <w:p w:rsidR="0074784E" w:rsidRPr="00656863" w:rsidRDefault="00FB0BC3" w:rsidP="00207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0BC3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Гарантирующая организация</w:t>
            </w:r>
            <w:r w:rsidR="007478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74784E" w:rsidRPr="00656863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784E" w:rsidRPr="005360CE" w:rsidTr="0074784E">
        <w:trPr>
          <w:trHeight w:val="549"/>
        </w:trPr>
        <w:tc>
          <w:tcPr>
            <w:tcW w:w="2584" w:type="pct"/>
          </w:tcPr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74784E" w:rsidRDefault="0074784E" w:rsidP="00207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74784E" w:rsidRPr="005360C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4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74784E" w:rsidRPr="005360CE" w:rsidRDefault="0074784E" w:rsidP="0020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4784E" w:rsidRDefault="0074784E" w:rsidP="007478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35DE" w:rsidRPr="008D761E" w:rsidRDefault="00DB35DE" w:rsidP="008D761E">
      <w:pPr>
        <w:pStyle w:val="ConsPlusNormal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sectPr w:rsidR="00DB35DE" w:rsidRPr="008D761E" w:rsidSect="008253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76" w:rsidRDefault="00DD7F76" w:rsidP="009955D1">
      <w:pPr>
        <w:spacing w:after="0" w:line="240" w:lineRule="auto"/>
      </w:pPr>
      <w:r>
        <w:separator/>
      </w:r>
    </w:p>
  </w:endnote>
  <w:endnote w:type="continuationSeparator" w:id="0">
    <w:p w:rsidR="00DD7F76" w:rsidRDefault="00DD7F76" w:rsidP="009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76" w:rsidRDefault="00DD7F76" w:rsidP="009955D1">
      <w:pPr>
        <w:spacing w:after="0" w:line="240" w:lineRule="auto"/>
      </w:pPr>
      <w:r>
        <w:separator/>
      </w:r>
    </w:p>
  </w:footnote>
  <w:footnote w:type="continuationSeparator" w:id="0">
    <w:p w:rsidR="00DD7F76" w:rsidRDefault="00DD7F76" w:rsidP="0099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DE"/>
    <w:rsid w:val="00003399"/>
    <w:rsid w:val="000329AC"/>
    <w:rsid w:val="000C481A"/>
    <w:rsid w:val="001531D2"/>
    <w:rsid w:val="00203051"/>
    <w:rsid w:val="00207E28"/>
    <w:rsid w:val="00281362"/>
    <w:rsid w:val="002D5163"/>
    <w:rsid w:val="002E5ED3"/>
    <w:rsid w:val="0030384D"/>
    <w:rsid w:val="0032161B"/>
    <w:rsid w:val="0034615D"/>
    <w:rsid w:val="003A3D6A"/>
    <w:rsid w:val="00481108"/>
    <w:rsid w:val="00481A19"/>
    <w:rsid w:val="00485ECE"/>
    <w:rsid w:val="004A7697"/>
    <w:rsid w:val="004D71B5"/>
    <w:rsid w:val="004F77E0"/>
    <w:rsid w:val="00512337"/>
    <w:rsid w:val="00533A5F"/>
    <w:rsid w:val="005735F8"/>
    <w:rsid w:val="00606394"/>
    <w:rsid w:val="0064025D"/>
    <w:rsid w:val="006A6C45"/>
    <w:rsid w:val="006D4473"/>
    <w:rsid w:val="00742074"/>
    <w:rsid w:val="0074289A"/>
    <w:rsid w:val="0074784E"/>
    <w:rsid w:val="00822EDD"/>
    <w:rsid w:val="00825376"/>
    <w:rsid w:val="008753FF"/>
    <w:rsid w:val="0087721A"/>
    <w:rsid w:val="008D6181"/>
    <w:rsid w:val="008D761E"/>
    <w:rsid w:val="00914931"/>
    <w:rsid w:val="00931443"/>
    <w:rsid w:val="009955D1"/>
    <w:rsid w:val="009E48FA"/>
    <w:rsid w:val="009F27BF"/>
    <w:rsid w:val="00AA7758"/>
    <w:rsid w:val="00AB401E"/>
    <w:rsid w:val="00B129D7"/>
    <w:rsid w:val="00B25576"/>
    <w:rsid w:val="00BD7923"/>
    <w:rsid w:val="00BF23C0"/>
    <w:rsid w:val="00C243A1"/>
    <w:rsid w:val="00D3790E"/>
    <w:rsid w:val="00D41CFC"/>
    <w:rsid w:val="00D86C97"/>
    <w:rsid w:val="00DB35DE"/>
    <w:rsid w:val="00DD7F76"/>
    <w:rsid w:val="00E0188E"/>
    <w:rsid w:val="00E54987"/>
    <w:rsid w:val="00E86AAB"/>
    <w:rsid w:val="00ED62C2"/>
    <w:rsid w:val="00F23256"/>
    <w:rsid w:val="00F41B5E"/>
    <w:rsid w:val="00F714C0"/>
    <w:rsid w:val="00FB0BC3"/>
    <w:rsid w:val="00FB5945"/>
    <w:rsid w:val="00FD2838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1A83-0440-4051-A326-EE6243A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1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B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3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3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35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D761E"/>
  </w:style>
  <w:style w:type="character" w:customStyle="1" w:styleId="a3">
    <w:name w:val="Цветовое выделение"/>
    <w:rsid w:val="008D761E"/>
    <w:rPr>
      <w:b/>
      <w:bCs/>
      <w:color w:val="000080"/>
      <w:sz w:val="20"/>
      <w:szCs w:val="20"/>
    </w:rPr>
  </w:style>
  <w:style w:type="character" w:customStyle="1" w:styleId="FontStyle25">
    <w:name w:val="Font Style25"/>
    <w:basedOn w:val="a0"/>
    <w:uiPriority w:val="99"/>
    <w:rsid w:val="00825376"/>
    <w:rPr>
      <w:rFonts w:ascii="Courier New" w:hAnsi="Courier New" w:cs="Courier New"/>
      <w:sz w:val="16"/>
      <w:szCs w:val="16"/>
    </w:rPr>
  </w:style>
  <w:style w:type="paragraph" w:styleId="a4">
    <w:name w:val="footnote text"/>
    <w:basedOn w:val="a"/>
    <w:link w:val="a5"/>
    <w:uiPriority w:val="99"/>
    <w:semiHidden/>
    <w:unhideWhenUsed/>
    <w:rsid w:val="009955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55D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955D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47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74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784E"/>
    <w:pPr>
      <w:suppressAutoHyphens/>
      <w:spacing w:after="0" w:line="240" w:lineRule="auto"/>
    </w:pPr>
    <w:rPr>
      <w:rFonts w:ascii="Calibri" w:eastAsia="Arial Unicode MS" w:hAnsi="Calibri" w:cs="font381"/>
      <w:kern w:val="1"/>
      <w:lang w:eastAsia="ar-SA"/>
    </w:rPr>
  </w:style>
  <w:style w:type="paragraph" w:customStyle="1" w:styleId="Iauiue">
    <w:name w:val="Iau?iue"/>
    <w:rsid w:val="0074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Îáû÷íûé"/>
    <w:rsid w:val="0074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57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35F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uiPriority w:val="99"/>
    <w:rsid w:val="0032161B"/>
    <w:pPr>
      <w:widowControl w:val="0"/>
      <w:autoSpaceDE w:val="0"/>
      <w:autoSpaceDN w:val="0"/>
      <w:adjustRightInd w:val="0"/>
      <w:spacing w:after="0" w:line="174" w:lineRule="exact"/>
      <w:ind w:hanging="62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32161B"/>
    <w:pPr>
      <w:widowControl w:val="0"/>
      <w:autoSpaceDE w:val="0"/>
      <w:autoSpaceDN w:val="0"/>
      <w:adjustRightInd w:val="0"/>
      <w:spacing w:after="0" w:line="173" w:lineRule="exact"/>
      <w:ind w:firstLine="25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2161B"/>
    <w:pPr>
      <w:widowControl w:val="0"/>
      <w:autoSpaceDE w:val="0"/>
      <w:autoSpaceDN w:val="0"/>
      <w:adjustRightInd w:val="0"/>
      <w:spacing w:after="0" w:line="173" w:lineRule="exact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32161B"/>
    <w:pPr>
      <w:widowControl w:val="0"/>
      <w:autoSpaceDE w:val="0"/>
      <w:autoSpaceDN w:val="0"/>
      <w:adjustRightInd w:val="0"/>
      <w:spacing w:after="0" w:line="178" w:lineRule="exact"/>
      <w:ind w:firstLine="278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3216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32161B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0"/>
    <w:uiPriority w:val="99"/>
    <w:rsid w:val="0032161B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32161B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9C0892EB991BEA2AF82137153503A51E3479BD5B74036B28C546C4BE5D00A6376B4B31708C257B2d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9C0892EB991BEA2AF82137153503A52E54D98D5B34036B28C546C4BE5D00A6376B4B31708C256B2d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9C0892EB991BEA2AF82137153503A52E54D98D5B34036B28C546C4BE5D00A6376B4B31708C256B2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9D5E-4FC5-47E0-A578-44FD9F7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Евгений Юрьевич</dc:creator>
  <cp:keywords/>
  <dc:description/>
  <cp:lastModifiedBy>Шмидт Евгений Юрьевич</cp:lastModifiedBy>
  <cp:revision>8</cp:revision>
  <cp:lastPrinted>2018-02-16T09:17:00Z</cp:lastPrinted>
  <dcterms:created xsi:type="dcterms:W3CDTF">2018-02-14T14:14:00Z</dcterms:created>
  <dcterms:modified xsi:type="dcterms:W3CDTF">2018-02-19T07:56:00Z</dcterms:modified>
</cp:coreProperties>
</file>